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61C9" w:rsidRDefault="00FB61C9">
      <w:pPr>
        <w:widowControl w:val="0"/>
        <w:pBdr>
          <w:top w:val="nil"/>
          <w:left w:val="nil"/>
          <w:bottom w:val="nil"/>
          <w:right w:val="nil"/>
          <w:between w:val="nil"/>
        </w:pBdr>
        <w:spacing w:after="0" w:line="276" w:lineRule="auto"/>
        <w:rPr>
          <w:rFonts w:ascii="Garamond" w:eastAsia="Garamond" w:hAnsi="Garamond" w:cs="Garamond"/>
          <w:color w:val="000000"/>
          <w:sz w:val="20"/>
          <w:szCs w:val="20"/>
        </w:rPr>
      </w:pPr>
    </w:p>
    <w:tbl>
      <w:tblPr>
        <w:tblStyle w:val="a3"/>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72"/>
      </w:tblGrid>
      <w:tr w:rsidR="00FB61C9">
        <w:tc>
          <w:tcPr>
            <w:tcW w:w="9072" w:type="dxa"/>
            <w:tcBorders>
              <w:top w:val="single" w:sz="4" w:space="0" w:color="FFFFFF"/>
              <w:left w:val="single" w:sz="4" w:space="0" w:color="FFFFFF"/>
              <w:bottom w:val="single" w:sz="4" w:space="0" w:color="FFFFFF"/>
              <w:right w:val="single" w:sz="4" w:space="0" w:color="FFFFFF"/>
            </w:tcBorders>
            <w:tcMar>
              <w:left w:w="0" w:type="dxa"/>
              <w:right w:w="0" w:type="dxa"/>
            </w:tcMar>
          </w:tcPr>
          <w:p w:rsidR="00FB61C9" w:rsidRDefault="00DC6AE4">
            <w:pPr>
              <w:spacing w:after="240" w:line="240" w:lineRule="auto"/>
              <w:ind w:right="-4"/>
              <w:jc w:val="both"/>
              <w:rPr>
                <w:rFonts w:ascii="Garamond" w:eastAsia="Garamond" w:hAnsi="Garamond" w:cs="Garamond"/>
                <w:b/>
                <w:sz w:val="34"/>
                <w:szCs w:val="34"/>
              </w:rPr>
            </w:pPr>
            <w:r>
              <w:rPr>
                <w:rFonts w:ascii="Garamond" w:eastAsia="Garamond" w:hAnsi="Garamond" w:cs="Garamond"/>
                <w:b/>
                <w:sz w:val="34"/>
                <w:szCs w:val="34"/>
              </w:rPr>
              <w:t xml:space="preserve">Land Subsidence Analysis Using </w:t>
            </w:r>
            <w:r w:rsidR="005C764E">
              <w:rPr>
                <w:rFonts w:ascii="Garamond" w:eastAsia="Garamond" w:hAnsi="Garamond" w:cs="Garamond"/>
                <w:b/>
                <w:sz w:val="34"/>
                <w:szCs w:val="34"/>
              </w:rPr>
              <w:t>T</w:t>
            </w:r>
            <w:r>
              <w:rPr>
                <w:rFonts w:ascii="Garamond" w:eastAsia="Garamond" w:hAnsi="Garamond" w:cs="Garamond"/>
                <w:b/>
                <w:sz w:val="34"/>
                <w:szCs w:val="34"/>
              </w:rPr>
              <w:t xml:space="preserve">he DinSAR Method in Snap Application for </w:t>
            </w:r>
            <w:r w:rsidR="005C764E">
              <w:rPr>
                <w:rFonts w:ascii="Garamond" w:eastAsia="Garamond" w:hAnsi="Garamond" w:cs="Garamond"/>
                <w:b/>
                <w:sz w:val="34"/>
                <w:szCs w:val="34"/>
              </w:rPr>
              <w:t>T</w:t>
            </w:r>
            <w:r>
              <w:rPr>
                <w:rFonts w:ascii="Garamond" w:eastAsia="Garamond" w:hAnsi="Garamond" w:cs="Garamond"/>
                <w:b/>
                <w:sz w:val="34"/>
                <w:szCs w:val="34"/>
              </w:rPr>
              <w:t>he 2021 Periode</w:t>
            </w:r>
          </w:p>
        </w:tc>
      </w:tr>
      <w:tr w:rsidR="00FB61C9" w:rsidRPr="003F5458">
        <w:tc>
          <w:tcPr>
            <w:tcW w:w="9072" w:type="dxa"/>
            <w:tcBorders>
              <w:top w:val="single" w:sz="4" w:space="0" w:color="FFFFFF"/>
              <w:left w:val="single" w:sz="4" w:space="0" w:color="FFFFFF"/>
              <w:bottom w:val="single" w:sz="4" w:space="0" w:color="FFFFFF"/>
              <w:right w:val="single" w:sz="4" w:space="0" w:color="FFFFFF"/>
            </w:tcBorders>
            <w:tcMar>
              <w:left w:w="0" w:type="dxa"/>
              <w:right w:w="0" w:type="dxa"/>
            </w:tcMar>
          </w:tcPr>
          <w:p w:rsidR="00FB61C9" w:rsidRPr="008948CC" w:rsidRDefault="000E4AAC">
            <w:pPr>
              <w:spacing w:after="120" w:line="240" w:lineRule="auto"/>
              <w:jc w:val="both"/>
              <w:rPr>
                <w:rFonts w:ascii="Garamond" w:eastAsia="Garamond" w:hAnsi="Garamond" w:cs="Garamond"/>
                <w:b/>
                <w:lang w:val="de-DE"/>
              </w:rPr>
            </w:pPr>
            <w:r w:rsidRPr="008948CC">
              <w:rPr>
                <w:rFonts w:ascii="Garamond" w:eastAsia="Garamond" w:hAnsi="Garamond" w:cs="Garamond"/>
                <w:b/>
                <w:color w:val="000000"/>
                <w:lang w:val="de-DE"/>
              </w:rPr>
              <w:t>Mairizwan</w:t>
            </w:r>
            <w:r w:rsidR="00291ED8" w:rsidRPr="008948CC">
              <w:rPr>
                <w:rFonts w:ascii="Garamond" w:eastAsia="Garamond" w:hAnsi="Garamond" w:cs="Garamond"/>
                <w:b/>
                <w:color w:val="000000"/>
                <w:vertAlign w:val="superscript"/>
                <w:lang w:val="de-DE"/>
              </w:rPr>
              <w:t>1</w:t>
            </w:r>
            <w:r w:rsidR="00291ED8" w:rsidRPr="008948CC">
              <w:rPr>
                <w:rFonts w:ascii="Garamond" w:eastAsia="Garamond" w:hAnsi="Garamond" w:cs="Garamond"/>
                <w:b/>
                <w:color w:val="000000"/>
                <w:lang w:val="de-DE"/>
              </w:rPr>
              <w:t xml:space="preserve">, </w:t>
            </w:r>
            <w:proofErr w:type="spellStart"/>
            <w:r w:rsidRPr="008948CC">
              <w:rPr>
                <w:rFonts w:ascii="Garamond" w:eastAsia="Garamond" w:hAnsi="Garamond" w:cs="Garamond"/>
                <w:b/>
                <w:color w:val="000000"/>
                <w:lang w:val="de-DE"/>
              </w:rPr>
              <w:t>Hanifah</w:t>
            </w:r>
            <w:proofErr w:type="spellEnd"/>
            <w:r w:rsidRPr="008948CC">
              <w:rPr>
                <w:rFonts w:ascii="Garamond" w:eastAsia="Garamond" w:hAnsi="Garamond" w:cs="Garamond"/>
                <w:b/>
                <w:color w:val="000000"/>
                <w:lang w:val="de-DE"/>
              </w:rPr>
              <w:t xml:space="preserve"> Nur Ismail</w:t>
            </w:r>
            <w:r w:rsidR="00291ED8" w:rsidRPr="008948CC">
              <w:rPr>
                <w:rFonts w:ascii="Garamond" w:eastAsia="Garamond" w:hAnsi="Garamond" w:cs="Garamond"/>
                <w:b/>
                <w:color w:val="000000"/>
                <w:vertAlign w:val="superscript"/>
                <w:lang w:val="de-DE"/>
              </w:rPr>
              <w:t>1</w:t>
            </w:r>
            <w:r w:rsidR="00474001">
              <w:rPr>
                <w:rFonts w:ascii="Garamond" w:eastAsia="Garamond" w:hAnsi="Garamond" w:cs="Garamond"/>
                <w:b/>
                <w:color w:val="000000"/>
                <w:vertAlign w:val="superscript"/>
                <w:lang w:val="de-DE"/>
              </w:rPr>
              <w:t>,</w:t>
            </w:r>
            <w:r w:rsidRPr="008948CC">
              <w:rPr>
                <w:rFonts w:ascii="Garamond" w:eastAsia="Garamond" w:hAnsi="Garamond" w:cs="Garamond"/>
                <w:b/>
                <w:color w:val="000000"/>
                <w:vertAlign w:val="superscript"/>
                <w:lang w:val="de-DE"/>
              </w:rPr>
              <w:t>*</w:t>
            </w:r>
            <w:r w:rsidR="00291ED8" w:rsidRPr="008948CC">
              <w:rPr>
                <w:rFonts w:ascii="Garamond" w:eastAsia="Garamond" w:hAnsi="Garamond" w:cs="Garamond"/>
                <w:b/>
                <w:color w:val="000000"/>
                <w:lang w:val="de-DE"/>
              </w:rPr>
              <w:t xml:space="preserve">, </w:t>
            </w:r>
            <w:proofErr w:type="spellStart"/>
            <w:r w:rsidR="00195C31" w:rsidRPr="008948CC">
              <w:rPr>
                <w:rFonts w:ascii="Garamond" w:eastAsia="Garamond" w:hAnsi="Garamond" w:cs="Garamond"/>
                <w:b/>
                <w:color w:val="000000"/>
                <w:lang w:val="de-DE"/>
              </w:rPr>
              <w:t>Joko</w:t>
            </w:r>
            <w:proofErr w:type="spellEnd"/>
            <w:r w:rsidR="00195C31" w:rsidRPr="008948CC">
              <w:rPr>
                <w:rFonts w:ascii="Garamond" w:eastAsia="Garamond" w:hAnsi="Garamond" w:cs="Garamond"/>
                <w:b/>
                <w:color w:val="000000"/>
                <w:lang w:val="de-DE"/>
              </w:rPr>
              <w:t xml:space="preserve"> Widodo</w:t>
            </w:r>
            <w:r w:rsidR="00291ED8" w:rsidRPr="008948CC">
              <w:rPr>
                <w:rFonts w:ascii="Garamond" w:eastAsia="Garamond" w:hAnsi="Garamond" w:cs="Garamond"/>
                <w:b/>
                <w:color w:val="000000"/>
                <w:vertAlign w:val="superscript"/>
                <w:lang w:val="de-DE"/>
              </w:rPr>
              <w:t xml:space="preserve">2 </w:t>
            </w:r>
          </w:p>
        </w:tc>
      </w:tr>
      <w:tr w:rsidR="00FB61C9">
        <w:tc>
          <w:tcPr>
            <w:tcW w:w="9072" w:type="dxa"/>
            <w:tcBorders>
              <w:top w:val="single" w:sz="4" w:space="0" w:color="FFFFFF"/>
              <w:left w:val="single" w:sz="4" w:space="0" w:color="FFFFFF"/>
              <w:bottom w:val="single" w:sz="4" w:space="0" w:color="FFFFFF"/>
              <w:right w:val="single" w:sz="4" w:space="0" w:color="FFFFFF"/>
            </w:tcBorders>
            <w:tcMar>
              <w:left w:w="0" w:type="dxa"/>
              <w:right w:w="0" w:type="dxa"/>
            </w:tcMar>
          </w:tcPr>
          <w:p w:rsidR="00FB61C9" w:rsidRDefault="00291ED8">
            <w:pPr>
              <w:spacing w:after="0" w:line="240" w:lineRule="auto"/>
              <w:rPr>
                <w:rFonts w:ascii="Garamond" w:eastAsia="Garamond" w:hAnsi="Garamond" w:cs="Garamond"/>
                <w:i/>
                <w:sz w:val="22"/>
              </w:rPr>
            </w:pPr>
            <w:r>
              <w:rPr>
                <w:rFonts w:ascii="Garamond" w:eastAsia="Garamond" w:hAnsi="Garamond" w:cs="Garamond"/>
                <w:i/>
                <w:sz w:val="22"/>
                <w:vertAlign w:val="superscript"/>
              </w:rPr>
              <w:t xml:space="preserve">1 </w:t>
            </w:r>
            <w:r>
              <w:rPr>
                <w:rFonts w:ascii="Garamond" w:eastAsia="Garamond" w:hAnsi="Garamond" w:cs="Garamond"/>
                <w:i/>
                <w:color w:val="000000"/>
                <w:sz w:val="22"/>
              </w:rPr>
              <w:t>Department of Physics, Universitas Negeri Padang, Padang 25131, Indonesia</w:t>
            </w:r>
            <w:r>
              <w:rPr>
                <w:rFonts w:ascii="Garamond" w:eastAsia="Garamond" w:hAnsi="Garamond" w:cs="Garamond"/>
                <w:i/>
                <w:color w:val="808080"/>
                <w:sz w:val="22"/>
              </w:rPr>
              <w:t xml:space="preserve"> </w:t>
            </w:r>
          </w:p>
          <w:p w:rsidR="00FB61C9" w:rsidRDefault="00291ED8">
            <w:pPr>
              <w:spacing w:after="120" w:line="240" w:lineRule="auto"/>
              <w:rPr>
                <w:rFonts w:ascii="Garamond" w:eastAsia="Garamond" w:hAnsi="Garamond" w:cs="Garamond"/>
                <w:i/>
                <w:sz w:val="26"/>
                <w:szCs w:val="26"/>
              </w:rPr>
            </w:pPr>
            <w:r>
              <w:rPr>
                <w:rFonts w:ascii="Garamond" w:eastAsia="Garamond" w:hAnsi="Garamond" w:cs="Garamond"/>
                <w:i/>
                <w:sz w:val="22"/>
                <w:vertAlign w:val="superscript"/>
              </w:rPr>
              <w:t>2</w:t>
            </w:r>
            <w:r>
              <w:rPr>
                <w:rFonts w:ascii="Garamond" w:eastAsia="Garamond" w:hAnsi="Garamond" w:cs="Garamond"/>
                <w:i/>
                <w:sz w:val="22"/>
              </w:rPr>
              <w:t xml:space="preserve"> </w:t>
            </w:r>
            <w:r w:rsidR="00195C31" w:rsidRPr="00195C31">
              <w:rPr>
                <w:rFonts w:ascii="Garamond" w:eastAsia="Garamond" w:hAnsi="Garamond" w:cs="Garamond"/>
                <w:i/>
                <w:sz w:val="22"/>
              </w:rPr>
              <w:t>Remote Sensing Research Centre, Aviation and Research Organization,, National Research and Innovation Agency (BRIN), Jakarta, 10340, Indonesia</w:t>
            </w:r>
          </w:p>
        </w:tc>
      </w:tr>
    </w:tbl>
    <w:p w:rsidR="00FB61C9" w:rsidRDefault="00FB61C9">
      <w:pPr>
        <w:spacing w:after="0" w:line="240" w:lineRule="auto"/>
        <w:rPr>
          <w:rFonts w:ascii="Garamond" w:eastAsia="Garamond" w:hAnsi="Garamond" w:cs="Garamond"/>
          <w:sz w:val="10"/>
          <w:szCs w:val="10"/>
        </w:rPr>
        <w:sectPr w:rsidR="00FB61C9" w:rsidSect="00474001">
          <w:headerReference w:type="even" r:id="rId9"/>
          <w:headerReference w:type="default" r:id="rId10"/>
          <w:footerReference w:type="even" r:id="rId11"/>
          <w:footerReference w:type="default" r:id="rId12"/>
          <w:headerReference w:type="first" r:id="rId13"/>
          <w:footerReference w:type="first" r:id="rId14"/>
          <w:pgSz w:w="11907" w:h="16840"/>
          <w:pgMar w:top="1883" w:right="1134" w:bottom="1418" w:left="1701" w:header="698" w:footer="916" w:gutter="0"/>
          <w:pgNumType w:start="26"/>
          <w:cols w:space="720"/>
          <w:titlePg/>
        </w:sectPr>
      </w:pPr>
    </w:p>
    <w:p w:rsidR="00FB61C9" w:rsidRDefault="00FB61C9">
      <w:pPr>
        <w:widowControl w:val="0"/>
        <w:pBdr>
          <w:top w:val="nil"/>
          <w:left w:val="nil"/>
          <w:bottom w:val="nil"/>
          <w:right w:val="nil"/>
          <w:between w:val="nil"/>
        </w:pBdr>
        <w:spacing w:after="0" w:line="276" w:lineRule="auto"/>
        <w:rPr>
          <w:rFonts w:ascii="Garamond" w:eastAsia="Garamond" w:hAnsi="Garamond" w:cs="Garamond"/>
          <w:sz w:val="10"/>
          <w:szCs w:val="10"/>
        </w:rPr>
      </w:pPr>
    </w:p>
    <w:tbl>
      <w:tblPr>
        <w:tblStyle w:val="a4"/>
        <w:tblW w:w="9064" w:type="dxa"/>
        <w:tblBorders>
          <w:top w:val="nil"/>
          <w:left w:val="nil"/>
          <w:bottom w:val="nil"/>
          <w:right w:val="nil"/>
          <w:insideH w:val="nil"/>
          <w:insideV w:val="nil"/>
        </w:tblBorders>
        <w:tblLayout w:type="fixed"/>
        <w:tblLook w:val="0400" w:firstRow="0" w:lastRow="0" w:firstColumn="0" w:lastColumn="0" w:noHBand="0" w:noVBand="1"/>
      </w:tblPr>
      <w:tblGrid>
        <w:gridCol w:w="3119"/>
        <w:gridCol w:w="5945"/>
      </w:tblGrid>
      <w:tr w:rsidR="00FB61C9">
        <w:tc>
          <w:tcPr>
            <w:tcW w:w="3119" w:type="dxa"/>
            <w:shd w:val="clear" w:color="auto" w:fill="D9D9D9"/>
          </w:tcPr>
          <w:p w:rsidR="00FB61C9" w:rsidRDefault="00FB61C9">
            <w:pPr>
              <w:spacing w:after="0" w:line="240" w:lineRule="auto"/>
              <w:rPr>
                <w:rFonts w:ascii="Garamond" w:eastAsia="Garamond" w:hAnsi="Garamond" w:cs="Garamond"/>
                <w:sz w:val="16"/>
                <w:szCs w:val="16"/>
              </w:rPr>
            </w:pPr>
          </w:p>
          <w:p w:rsidR="00FB61C9" w:rsidRDefault="00291ED8">
            <w:pPr>
              <w:spacing w:after="0" w:line="240" w:lineRule="auto"/>
              <w:rPr>
                <w:rFonts w:ascii="Garamond" w:eastAsia="Garamond" w:hAnsi="Garamond" w:cs="Garamond"/>
                <w:b/>
                <w:sz w:val="20"/>
                <w:szCs w:val="20"/>
              </w:rPr>
            </w:pPr>
            <w:r>
              <w:rPr>
                <w:rFonts w:ascii="Garamond" w:eastAsia="Garamond" w:hAnsi="Garamond" w:cs="Garamond"/>
                <w:b/>
                <w:sz w:val="20"/>
                <w:szCs w:val="20"/>
              </w:rPr>
              <w:t>Article History</w:t>
            </w:r>
          </w:p>
          <w:p w:rsidR="00474001" w:rsidRDefault="00474001" w:rsidP="00474001">
            <w:pPr>
              <w:spacing w:after="0" w:line="240" w:lineRule="auto"/>
              <w:rPr>
                <w:rFonts w:ascii="Garamond" w:eastAsia="Garamond" w:hAnsi="Garamond" w:cs="Garamond"/>
                <w:sz w:val="20"/>
                <w:szCs w:val="20"/>
              </w:rPr>
            </w:pPr>
            <w:r>
              <w:rPr>
                <w:rFonts w:ascii="Garamond" w:eastAsia="Garamond" w:hAnsi="Garamond" w:cs="Garamond"/>
                <w:sz w:val="20"/>
                <w:szCs w:val="20"/>
              </w:rPr>
              <w:t>Received : September, 14</w:t>
            </w:r>
            <w:r w:rsidRPr="00F358A2">
              <w:rPr>
                <w:rFonts w:ascii="Garamond" w:eastAsia="Garamond" w:hAnsi="Garamond" w:cs="Garamond"/>
                <w:sz w:val="20"/>
                <w:szCs w:val="20"/>
                <w:vertAlign w:val="superscript"/>
              </w:rPr>
              <w:t>th</w:t>
            </w:r>
            <w:r>
              <w:rPr>
                <w:rFonts w:ascii="Garamond" w:eastAsia="Garamond" w:hAnsi="Garamond" w:cs="Garamond"/>
                <w:sz w:val="20"/>
                <w:szCs w:val="20"/>
              </w:rPr>
              <w:t xml:space="preserve"> 2023</w:t>
            </w:r>
          </w:p>
          <w:p w:rsidR="00474001" w:rsidRDefault="00474001" w:rsidP="00474001">
            <w:pPr>
              <w:spacing w:after="0" w:line="240" w:lineRule="auto"/>
              <w:rPr>
                <w:rFonts w:ascii="Garamond" w:eastAsia="Garamond" w:hAnsi="Garamond" w:cs="Garamond"/>
                <w:sz w:val="20"/>
                <w:szCs w:val="20"/>
              </w:rPr>
            </w:pPr>
            <w:bookmarkStart w:id="0" w:name="_heading=h.30j0zll" w:colFirst="0" w:colLast="0"/>
            <w:bookmarkEnd w:id="0"/>
            <w:r>
              <w:rPr>
                <w:rFonts w:ascii="Garamond" w:eastAsia="Garamond" w:hAnsi="Garamond" w:cs="Garamond"/>
                <w:sz w:val="20"/>
                <w:szCs w:val="20"/>
              </w:rPr>
              <w:t>Revised : September, 23</w:t>
            </w:r>
            <w:r>
              <w:rPr>
                <w:rFonts w:ascii="Garamond" w:eastAsia="Garamond" w:hAnsi="Garamond" w:cs="Garamond"/>
                <w:sz w:val="20"/>
                <w:szCs w:val="20"/>
                <w:vertAlign w:val="superscript"/>
              </w:rPr>
              <w:t>rd</w:t>
            </w:r>
            <w:r>
              <w:rPr>
                <w:rFonts w:ascii="Garamond" w:eastAsia="Garamond" w:hAnsi="Garamond" w:cs="Garamond"/>
                <w:sz w:val="20"/>
                <w:szCs w:val="20"/>
              </w:rPr>
              <w:t xml:space="preserve"> 2023</w:t>
            </w:r>
          </w:p>
          <w:p w:rsidR="00474001" w:rsidRDefault="00474001" w:rsidP="00474001">
            <w:pPr>
              <w:spacing w:after="0" w:line="240" w:lineRule="auto"/>
              <w:rPr>
                <w:rFonts w:ascii="Garamond" w:eastAsia="Garamond" w:hAnsi="Garamond" w:cs="Garamond"/>
                <w:sz w:val="20"/>
                <w:szCs w:val="20"/>
              </w:rPr>
            </w:pPr>
            <w:r>
              <w:rPr>
                <w:rFonts w:ascii="Garamond" w:eastAsia="Garamond" w:hAnsi="Garamond" w:cs="Garamond"/>
                <w:sz w:val="20"/>
                <w:szCs w:val="20"/>
              </w:rPr>
              <w:t>Accepted : September, 25</w:t>
            </w:r>
            <w:r w:rsidRPr="00F358A2">
              <w:rPr>
                <w:rFonts w:ascii="Garamond" w:eastAsia="Garamond" w:hAnsi="Garamond" w:cs="Garamond"/>
                <w:sz w:val="20"/>
                <w:szCs w:val="20"/>
                <w:vertAlign w:val="superscript"/>
              </w:rPr>
              <w:t>th</w:t>
            </w:r>
            <w:r>
              <w:rPr>
                <w:rFonts w:ascii="Garamond" w:eastAsia="Garamond" w:hAnsi="Garamond" w:cs="Garamond"/>
                <w:sz w:val="20"/>
                <w:szCs w:val="20"/>
              </w:rPr>
              <w:t xml:space="preserve"> 2023</w:t>
            </w:r>
          </w:p>
          <w:p w:rsidR="00474001" w:rsidRDefault="00474001" w:rsidP="00474001">
            <w:pPr>
              <w:spacing w:after="0" w:line="240" w:lineRule="auto"/>
              <w:rPr>
                <w:rFonts w:ascii="Garamond" w:eastAsia="Garamond" w:hAnsi="Garamond" w:cs="Garamond"/>
                <w:sz w:val="20"/>
                <w:szCs w:val="20"/>
              </w:rPr>
            </w:pPr>
            <w:r>
              <w:rPr>
                <w:rFonts w:ascii="Garamond" w:eastAsia="Garamond" w:hAnsi="Garamond" w:cs="Garamond"/>
                <w:sz w:val="20"/>
                <w:szCs w:val="20"/>
              </w:rPr>
              <w:t>Published : September, 30</w:t>
            </w:r>
            <w:r w:rsidRPr="00F358A2">
              <w:rPr>
                <w:rFonts w:ascii="Garamond" w:eastAsia="Garamond" w:hAnsi="Garamond" w:cs="Garamond"/>
                <w:sz w:val="20"/>
                <w:szCs w:val="20"/>
                <w:vertAlign w:val="superscript"/>
              </w:rPr>
              <w:t>th</w:t>
            </w:r>
            <w:r>
              <w:rPr>
                <w:rFonts w:ascii="Garamond" w:eastAsia="Garamond" w:hAnsi="Garamond" w:cs="Garamond"/>
                <w:sz w:val="20"/>
                <w:szCs w:val="20"/>
              </w:rPr>
              <w:t xml:space="preserve"> 2023</w:t>
            </w:r>
          </w:p>
          <w:p w:rsidR="00FB61C9" w:rsidRDefault="00FB61C9">
            <w:pPr>
              <w:spacing w:after="0" w:line="240" w:lineRule="auto"/>
              <w:rPr>
                <w:rFonts w:ascii="Garamond" w:eastAsia="Garamond" w:hAnsi="Garamond" w:cs="Garamond"/>
                <w:sz w:val="10"/>
                <w:szCs w:val="10"/>
              </w:rPr>
            </w:pPr>
          </w:p>
          <w:p w:rsidR="00FB61C9" w:rsidRDefault="00291ED8">
            <w:pPr>
              <w:spacing w:after="0" w:line="240" w:lineRule="auto"/>
              <w:rPr>
                <w:rFonts w:ascii="Garamond" w:eastAsia="Garamond" w:hAnsi="Garamond" w:cs="Garamond"/>
                <w:b/>
                <w:sz w:val="20"/>
                <w:szCs w:val="20"/>
              </w:rPr>
            </w:pPr>
            <w:r>
              <w:rPr>
                <w:rFonts w:ascii="Garamond" w:eastAsia="Garamond" w:hAnsi="Garamond" w:cs="Garamond"/>
                <w:b/>
                <w:sz w:val="20"/>
                <w:szCs w:val="20"/>
              </w:rPr>
              <w:t>DOI:</w:t>
            </w:r>
          </w:p>
          <w:p w:rsidR="00FB61C9" w:rsidRDefault="00291ED8">
            <w:pPr>
              <w:tabs>
                <w:tab w:val="center" w:pos="4680"/>
                <w:tab w:val="right" w:pos="9360"/>
                <w:tab w:val="center" w:pos="3840"/>
                <w:tab w:val="right" w:pos="8880"/>
                <w:tab w:val="right" w:pos="9072"/>
              </w:tabs>
              <w:spacing w:after="0" w:line="240" w:lineRule="auto"/>
              <w:rPr>
                <w:rFonts w:ascii="Garamond" w:eastAsia="Garamond" w:hAnsi="Garamond" w:cs="Garamond"/>
                <w:color w:val="000000"/>
                <w:sz w:val="20"/>
                <w:szCs w:val="20"/>
              </w:rPr>
            </w:pPr>
            <w:r>
              <w:rPr>
                <w:rFonts w:ascii="Garamond" w:eastAsia="Garamond" w:hAnsi="Garamond" w:cs="Garamond"/>
                <w:color w:val="000000"/>
                <w:sz w:val="20"/>
                <w:szCs w:val="20"/>
              </w:rPr>
              <w:t>https://doi.org/</w:t>
            </w:r>
            <w:r w:rsidR="00474001">
              <w:rPr>
                <w:rFonts w:ascii="Garamond" w:eastAsia="Garamond" w:hAnsi="Garamond" w:cs="Garamond"/>
                <w:color w:val="000000"/>
                <w:sz w:val="20"/>
                <w:szCs w:val="20"/>
              </w:rPr>
              <w:t>10.24036/jeap.v1i2.14</w:t>
            </w:r>
          </w:p>
          <w:p w:rsidR="00FB61C9" w:rsidRDefault="00FB61C9">
            <w:pPr>
              <w:spacing w:after="0" w:line="240" w:lineRule="auto"/>
              <w:rPr>
                <w:rFonts w:ascii="Garamond" w:eastAsia="Garamond" w:hAnsi="Garamond" w:cs="Garamond"/>
                <w:sz w:val="10"/>
                <w:szCs w:val="10"/>
              </w:rPr>
            </w:pPr>
          </w:p>
          <w:p w:rsidR="00FB61C9" w:rsidRDefault="00291ED8">
            <w:pPr>
              <w:spacing w:after="0" w:line="240" w:lineRule="auto"/>
              <w:rPr>
                <w:rFonts w:ascii="Garamond" w:eastAsia="Garamond" w:hAnsi="Garamond" w:cs="Garamond"/>
                <w:b/>
                <w:sz w:val="20"/>
                <w:szCs w:val="20"/>
              </w:rPr>
            </w:pPr>
            <w:r>
              <w:rPr>
                <w:rFonts w:ascii="Garamond" w:eastAsia="Garamond" w:hAnsi="Garamond" w:cs="Garamond"/>
                <w:b/>
                <w:sz w:val="20"/>
                <w:szCs w:val="20"/>
              </w:rPr>
              <w:t>Corresponding Author</w:t>
            </w:r>
          </w:p>
          <w:p w:rsidR="00FB61C9" w:rsidRDefault="00291ED8">
            <w:pPr>
              <w:spacing w:after="0" w:line="240" w:lineRule="auto"/>
              <w:rPr>
                <w:rFonts w:ascii="Garamond" w:eastAsia="Garamond" w:hAnsi="Garamond" w:cs="Garamond"/>
                <w:sz w:val="20"/>
                <w:szCs w:val="20"/>
              </w:rPr>
            </w:pPr>
            <w:r>
              <w:rPr>
                <w:rFonts w:ascii="Garamond" w:eastAsia="Garamond" w:hAnsi="Garamond" w:cs="Garamond"/>
                <w:sz w:val="20"/>
                <w:szCs w:val="20"/>
              </w:rPr>
              <w:t xml:space="preserve">*Author Name: </w:t>
            </w:r>
            <w:r w:rsidR="000E4AAC">
              <w:rPr>
                <w:rFonts w:ascii="Garamond" w:eastAsia="Garamond" w:hAnsi="Garamond" w:cs="Garamond"/>
                <w:sz w:val="20"/>
                <w:szCs w:val="20"/>
              </w:rPr>
              <w:t>Hanifah Nur Ismail</w:t>
            </w:r>
          </w:p>
          <w:p w:rsidR="00FB61C9" w:rsidRDefault="00291ED8">
            <w:pPr>
              <w:spacing w:after="0" w:line="240" w:lineRule="auto"/>
              <w:rPr>
                <w:rFonts w:ascii="Garamond" w:eastAsia="Garamond" w:hAnsi="Garamond" w:cs="Garamond"/>
                <w:sz w:val="20"/>
                <w:szCs w:val="20"/>
              </w:rPr>
            </w:pPr>
            <w:r>
              <w:rPr>
                <w:rFonts w:ascii="Garamond" w:eastAsia="Garamond" w:hAnsi="Garamond" w:cs="Garamond"/>
                <w:sz w:val="20"/>
                <w:szCs w:val="20"/>
              </w:rPr>
              <w:t xml:space="preserve">Email: </w:t>
            </w:r>
            <w:r w:rsidR="000E4AAC">
              <w:rPr>
                <w:rFonts w:ascii="Garamond" w:eastAsia="Garamond" w:hAnsi="Garamond" w:cs="Garamond"/>
                <w:sz w:val="20"/>
                <w:szCs w:val="20"/>
              </w:rPr>
              <w:t>hanifahnurismail</w:t>
            </w:r>
            <w:r>
              <w:rPr>
                <w:rFonts w:ascii="Garamond" w:eastAsia="Garamond" w:hAnsi="Garamond" w:cs="Garamond"/>
                <w:sz w:val="20"/>
                <w:szCs w:val="20"/>
              </w:rPr>
              <w:t>@</w:t>
            </w:r>
            <w:r w:rsidR="000E4AAC">
              <w:rPr>
                <w:rFonts w:ascii="Garamond" w:eastAsia="Garamond" w:hAnsi="Garamond" w:cs="Garamond"/>
                <w:sz w:val="20"/>
                <w:szCs w:val="20"/>
              </w:rPr>
              <w:t>g</w:t>
            </w:r>
            <w:r>
              <w:rPr>
                <w:rFonts w:ascii="Garamond" w:eastAsia="Garamond" w:hAnsi="Garamond" w:cs="Garamond"/>
                <w:sz w:val="20"/>
                <w:szCs w:val="20"/>
              </w:rPr>
              <w:t>mail.com</w:t>
            </w:r>
          </w:p>
          <w:p w:rsidR="00FB61C9" w:rsidRDefault="00FB61C9">
            <w:pPr>
              <w:spacing w:after="0" w:line="240" w:lineRule="auto"/>
              <w:rPr>
                <w:rFonts w:ascii="Garamond" w:eastAsia="Garamond" w:hAnsi="Garamond" w:cs="Garamond"/>
                <w:sz w:val="16"/>
                <w:szCs w:val="16"/>
              </w:rPr>
            </w:pPr>
          </w:p>
        </w:tc>
        <w:tc>
          <w:tcPr>
            <w:tcW w:w="5945" w:type="dxa"/>
            <w:shd w:val="clear" w:color="auto" w:fill="auto"/>
          </w:tcPr>
          <w:p w:rsidR="00FB61C9" w:rsidRDefault="00291ED8">
            <w:pPr>
              <w:pStyle w:val="Heading1"/>
              <w:spacing w:after="240"/>
              <w:ind w:right="-117"/>
              <w:jc w:val="both"/>
              <w:rPr>
                <w:rFonts w:ascii="Garamond" w:eastAsia="Garamond" w:hAnsi="Garamond" w:cs="Garamond"/>
                <w:b w:val="0"/>
                <w:sz w:val="22"/>
                <w:szCs w:val="22"/>
              </w:rPr>
            </w:pPr>
            <w:r>
              <w:rPr>
                <w:rFonts w:ascii="Garamond" w:eastAsia="Garamond" w:hAnsi="Garamond" w:cs="Garamond"/>
                <w:sz w:val="22"/>
                <w:szCs w:val="22"/>
              </w:rPr>
              <w:t xml:space="preserve">Abstract: </w:t>
            </w:r>
            <w:r w:rsidR="00CA52ED" w:rsidRPr="00CA52ED">
              <w:rPr>
                <w:rFonts w:ascii="Garamond" w:eastAsia="Garamond" w:hAnsi="Garamond" w:cs="Garamond"/>
                <w:b w:val="0"/>
                <w:sz w:val="22"/>
                <w:szCs w:val="22"/>
              </w:rPr>
              <w:t>Three main factors can accelerate the rate of land subsidence, including: natural conditions (geology), groundwater extraction and building mass. Excessive groundwater extraction is believed to be one of the main factors leading to land subsidence. This occurs because there are still many DKI Jakarta residents who have not switched to using PAM RT water (Househo</w:t>
            </w:r>
            <w:r w:rsidR="00784380">
              <w:rPr>
                <w:rFonts w:ascii="Garamond" w:eastAsia="Garamond" w:hAnsi="Garamond" w:cs="Garamond"/>
                <w:b w:val="0"/>
                <w:sz w:val="22"/>
                <w:szCs w:val="22"/>
              </w:rPr>
              <w:t>ld Drinking Water Management</w:t>
            </w:r>
            <w:r w:rsidR="00784380">
              <w:rPr>
                <w:rFonts w:ascii="Garamond" w:eastAsia="Garamond" w:hAnsi="Garamond" w:cs="Garamond"/>
                <w:b w:val="0"/>
                <w:sz w:val="22"/>
                <w:szCs w:val="22"/>
                <w:lang w:val="id-ID"/>
              </w:rPr>
              <w:t>)</w:t>
            </w:r>
            <w:r w:rsidR="00CA52ED" w:rsidRPr="00CA52ED">
              <w:rPr>
                <w:rFonts w:ascii="Garamond" w:eastAsia="Garamond" w:hAnsi="Garamond" w:cs="Garamond"/>
                <w:b w:val="0"/>
                <w:sz w:val="22"/>
                <w:szCs w:val="22"/>
              </w:rPr>
              <w:t>.</w:t>
            </w:r>
            <w:r w:rsidR="00007FA8">
              <w:rPr>
                <w:rFonts w:ascii="Garamond" w:eastAsia="Garamond" w:hAnsi="Garamond" w:cs="Garamond"/>
                <w:b w:val="0"/>
                <w:sz w:val="22"/>
                <w:szCs w:val="22"/>
              </w:rPr>
              <w:t xml:space="preserve"> </w:t>
            </w:r>
            <w:r w:rsidR="00CA52ED" w:rsidRPr="00CA52ED">
              <w:rPr>
                <w:rFonts w:ascii="Garamond" w:eastAsia="Garamond" w:hAnsi="Garamond" w:cs="Garamond"/>
                <w:b w:val="0"/>
                <w:sz w:val="22"/>
                <w:szCs w:val="22"/>
              </w:rPr>
              <w:t xml:space="preserve"> Data processing to obtain information in the form of the value of the range of subsidence of the DKI Jakarta area during 2021. The data taken in the form of Sentinel 1A data is then analyzed with the SNAP application using the Differential Interferometry Synthetic Aperture Radar (DInSAR) method.</w:t>
            </w:r>
            <w:r w:rsidR="00007FA8">
              <w:rPr>
                <w:rFonts w:ascii="Garamond" w:eastAsia="Garamond" w:hAnsi="Garamond" w:cs="Garamond"/>
                <w:b w:val="0"/>
                <w:sz w:val="22"/>
                <w:szCs w:val="22"/>
              </w:rPr>
              <w:t xml:space="preserve"> </w:t>
            </w:r>
            <w:r w:rsidR="00007FA8" w:rsidRPr="00007FA8">
              <w:rPr>
                <w:rFonts w:ascii="Garamond" w:eastAsia="Garamond" w:hAnsi="Garamond" w:cs="Garamond"/>
                <w:b w:val="0"/>
                <w:sz w:val="22"/>
                <w:szCs w:val="22"/>
              </w:rPr>
              <w:t>This research is useful to determine the rate of land subsidence in the DKI Jakarta area in 2021.</w:t>
            </w:r>
            <w:r w:rsidR="00CA52ED" w:rsidRPr="00CA52ED">
              <w:rPr>
                <w:rFonts w:ascii="Garamond" w:eastAsia="Garamond" w:hAnsi="Garamond" w:cs="Garamond"/>
                <w:b w:val="0"/>
                <w:sz w:val="22"/>
                <w:szCs w:val="22"/>
              </w:rPr>
              <w:t xml:space="preserve"> Based on the results of data processing that has been done using the DInSAR method in the ESA SNAP application using Sentinel 1A imagery with data for the DKI Jakarta area in 2021, it can be concluded that for one year in 2021 the results of the decline in the area are -0.7 cm - -2.3 cm which is located near the Jakarta sea waters for one year in 2021</w:t>
            </w:r>
            <w:r>
              <w:rPr>
                <w:rFonts w:ascii="Garamond" w:eastAsia="Garamond" w:hAnsi="Garamond" w:cs="Garamond"/>
                <w:b w:val="0"/>
                <w:sz w:val="22"/>
                <w:szCs w:val="22"/>
              </w:rPr>
              <w:t>.</w:t>
            </w:r>
          </w:p>
          <w:p w:rsidR="00FB61C9" w:rsidRDefault="00291ED8">
            <w:pPr>
              <w:spacing w:after="240" w:line="240" w:lineRule="auto"/>
              <w:ind w:right="-117"/>
              <w:jc w:val="both"/>
              <w:rPr>
                <w:rFonts w:ascii="Garamond" w:eastAsia="Garamond" w:hAnsi="Garamond" w:cs="Garamond"/>
                <w:sz w:val="22"/>
              </w:rPr>
            </w:pPr>
            <w:r>
              <w:rPr>
                <w:rFonts w:ascii="Garamond" w:eastAsia="Garamond" w:hAnsi="Garamond" w:cs="Garamond"/>
                <w:b/>
                <w:sz w:val="22"/>
              </w:rPr>
              <w:t xml:space="preserve">Keywords: </w:t>
            </w:r>
            <w:r w:rsidR="00247D0F">
              <w:rPr>
                <w:rFonts w:ascii="Garamond" w:eastAsia="Garamond" w:hAnsi="Garamond" w:cs="Garamond"/>
                <w:sz w:val="22"/>
              </w:rPr>
              <w:t>L</w:t>
            </w:r>
            <w:r w:rsidR="00CA52ED" w:rsidRPr="00CA52ED">
              <w:rPr>
                <w:rFonts w:ascii="Garamond" w:eastAsia="Garamond" w:hAnsi="Garamond" w:cs="Garamond"/>
                <w:sz w:val="22"/>
              </w:rPr>
              <w:t xml:space="preserve">and </w:t>
            </w:r>
            <w:r w:rsidR="00247D0F">
              <w:rPr>
                <w:rFonts w:ascii="Garamond" w:eastAsia="Garamond" w:hAnsi="Garamond" w:cs="Garamond"/>
                <w:sz w:val="22"/>
              </w:rPr>
              <w:t>S</w:t>
            </w:r>
            <w:r w:rsidR="00CA52ED" w:rsidRPr="00CA52ED">
              <w:rPr>
                <w:rFonts w:ascii="Garamond" w:eastAsia="Garamond" w:hAnsi="Garamond" w:cs="Garamond"/>
                <w:sz w:val="22"/>
              </w:rPr>
              <w:t>ubsidence</w:t>
            </w:r>
            <w:r w:rsidR="00A77BCD">
              <w:rPr>
                <w:rFonts w:ascii="Garamond" w:eastAsia="Garamond" w:hAnsi="Garamond" w:cs="Garamond"/>
                <w:sz w:val="22"/>
              </w:rPr>
              <w:t xml:space="preserve">, </w:t>
            </w:r>
            <w:r w:rsidR="00CA52ED" w:rsidRPr="00CA52ED">
              <w:rPr>
                <w:rFonts w:ascii="Garamond" w:eastAsia="Garamond" w:hAnsi="Garamond" w:cs="Garamond"/>
                <w:sz w:val="22"/>
              </w:rPr>
              <w:t>DInSAR</w:t>
            </w:r>
            <w:r w:rsidR="00A77BCD">
              <w:rPr>
                <w:rFonts w:ascii="Garamond" w:eastAsia="Garamond" w:hAnsi="Garamond" w:cs="Garamond"/>
                <w:sz w:val="22"/>
              </w:rPr>
              <w:t xml:space="preserve">, </w:t>
            </w:r>
            <w:r w:rsidR="00CA52ED" w:rsidRPr="00CA52ED">
              <w:rPr>
                <w:rFonts w:ascii="Garamond" w:eastAsia="Garamond" w:hAnsi="Garamond" w:cs="Garamond"/>
                <w:sz w:val="22"/>
              </w:rPr>
              <w:t>SNAP</w:t>
            </w:r>
          </w:p>
        </w:tc>
      </w:tr>
    </w:tbl>
    <w:p w:rsidR="00FB61C9" w:rsidRDefault="00FB61C9">
      <w:pPr>
        <w:pStyle w:val="Heading1"/>
        <w:jc w:val="left"/>
        <w:rPr>
          <w:rFonts w:ascii="Garamond" w:eastAsia="Garamond" w:hAnsi="Garamond" w:cs="Garamond"/>
          <w:b w:val="0"/>
          <w:sz w:val="10"/>
          <w:szCs w:val="10"/>
        </w:rPr>
      </w:pPr>
    </w:p>
    <w:tbl>
      <w:tblPr>
        <w:tblStyle w:val="a5"/>
        <w:tblW w:w="9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4"/>
        <w:gridCol w:w="7671"/>
      </w:tblGrid>
      <w:tr w:rsidR="00FB61C9">
        <w:tc>
          <w:tcPr>
            <w:tcW w:w="1404" w:type="dxa"/>
            <w:tcBorders>
              <w:left w:val="single" w:sz="4" w:space="0" w:color="FFFFFF"/>
              <w:right w:val="single" w:sz="4" w:space="0" w:color="FFFFFF"/>
            </w:tcBorders>
            <w:tcMar>
              <w:left w:w="0" w:type="dxa"/>
              <w:right w:w="0" w:type="dxa"/>
            </w:tcMar>
          </w:tcPr>
          <w:p w:rsidR="00FB61C9" w:rsidRDefault="00FB61C9">
            <w:pPr>
              <w:spacing w:after="0" w:line="240" w:lineRule="auto"/>
              <w:rPr>
                <w:rFonts w:ascii="Garamond" w:eastAsia="Garamond" w:hAnsi="Garamond" w:cs="Garamond"/>
                <w:sz w:val="4"/>
                <w:szCs w:val="4"/>
              </w:rPr>
            </w:pPr>
          </w:p>
          <w:p w:rsidR="00FB61C9" w:rsidRDefault="00291ED8">
            <w:pPr>
              <w:spacing w:after="0" w:line="276" w:lineRule="auto"/>
              <w:ind w:right="330"/>
              <w:jc w:val="center"/>
              <w:rPr>
                <w:rFonts w:ascii="Garamond" w:eastAsia="Garamond" w:hAnsi="Garamond" w:cs="Garamond"/>
                <w:sz w:val="20"/>
                <w:szCs w:val="20"/>
              </w:rPr>
            </w:pPr>
            <w:r>
              <w:rPr>
                <w:rFonts w:ascii="Garamond" w:eastAsia="Garamond" w:hAnsi="Garamond" w:cs="Garamond"/>
                <w:noProof/>
                <w:lang w:eastAsia="en-US"/>
              </w:rPr>
              <w:drawing>
                <wp:inline distT="0" distB="0" distL="0" distR="0">
                  <wp:extent cx="853807" cy="294169"/>
                  <wp:effectExtent l="0" t="0" r="0" b="0"/>
                  <wp:docPr id="1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853807" cy="294169"/>
                          </a:xfrm>
                          <a:prstGeom prst="rect">
                            <a:avLst/>
                          </a:prstGeom>
                          <a:ln/>
                        </pic:spPr>
                      </pic:pic>
                    </a:graphicData>
                  </a:graphic>
                </wp:inline>
              </w:drawing>
            </w:r>
          </w:p>
        </w:tc>
        <w:tc>
          <w:tcPr>
            <w:tcW w:w="7671" w:type="dxa"/>
            <w:tcBorders>
              <w:left w:val="single" w:sz="4" w:space="0" w:color="FFFFFF"/>
              <w:right w:val="single" w:sz="4" w:space="0" w:color="FFFFFF"/>
            </w:tcBorders>
          </w:tcPr>
          <w:p w:rsidR="00FB61C9" w:rsidRDefault="00291ED8">
            <w:pPr>
              <w:spacing w:after="0" w:line="240" w:lineRule="auto"/>
              <w:ind w:right="137"/>
              <w:jc w:val="both"/>
              <w:rPr>
                <w:rFonts w:ascii="Garamond" w:eastAsia="Garamond" w:hAnsi="Garamond" w:cs="Garamond"/>
                <w:sz w:val="18"/>
                <w:szCs w:val="18"/>
              </w:rPr>
            </w:pPr>
            <w:r>
              <w:rPr>
                <w:rFonts w:ascii="Garamond" w:eastAsia="Garamond" w:hAnsi="Garamond" w:cs="Garamond"/>
                <w:sz w:val="18"/>
                <w:szCs w:val="18"/>
              </w:rPr>
              <w:t>Journal of Experimental and Applied Physics is an open access article licensed under a Creative Commons Attribution ShareAlike 4.0 International License which permits unrestricted use, distribution, and reproduction in any medium, provided the original work is properly cited. ©2023 by author.</w:t>
            </w:r>
          </w:p>
        </w:tc>
      </w:tr>
    </w:tbl>
    <w:p w:rsidR="00FB61C9" w:rsidRDefault="00291ED8">
      <w:pPr>
        <w:pStyle w:val="Heading1"/>
        <w:numPr>
          <w:ilvl w:val="0"/>
          <w:numId w:val="3"/>
        </w:numPr>
        <w:spacing w:before="240" w:after="120" w:line="276" w:lineRule="auto"/>
        <w:ind w:left="426" w:hanging="426"/>
        <w:jc w:val="left"/>
        <w:rPr>
          <w:rFonts w:ascii="Garamond" w:eastAsia="Garamond" w:hAnsi="Garamond" w:cs="Garamond"/>
          <w:sz w:val="28"/>
          <w:szCs w:val="28"/>
        </w:rPr>
      </w:pPr>
      <w:r>
        <w:rPr>
          <w:rFonts w:ascii="Garamond" w:eastAsia="Garamond" w:hAnsi="Garamond" w:cs="Garamond"/>
          <w:sz w:val="28"/>
          <w:szCs w:val="28"/>
        </w:rPr>
        <w:t>Introduction</w:t>
      </w:r>
    </w:p>
    <w:p w:rsidR="008D48F4" w:rsidRPr="008D48F4" w:rsidRDefault="008D48F4" w:rsidP="008948CC">
      <w:pPr>
        <w:pBdr>
          <w:top w:val="nil"/>
          <w:left w:val="nil"/>
          <w:bottom w:val="nil"/>
          <w:right w:val="nil"/>
          <w:between w:val="nil"/>
        </w:pBdr>
        <w:spacing w:after="0" w:line="276" w:lineRule="auto"/>
        <w:ind w:firstLine="426"/>
        <w:jc w:val="both"/>
        <w:rPr>
          <w:rFonts w:ascii="Garamond" w:eastAsia="Garamond" w:hAnsi="Garamond" w:cs="Garamond"/>
          <w:color w:val="000000"/>
        </w:rPr>
      </w:pPr>
      <w:r w:rsidRPr="008D48F4">
        <w:rPr>
          <w:rFonts w:ascii="Garamond" w:eastAsia="Garamond" w:hAnsi="Garamond" w:cs="Garamond"/>
          <w:color w:val="000000"/>
        </w:rPr>
        <w:t>DKI Jakarta as an Indonesian urban metropolis with a land area of 664.01 km</w:t>
      </w:r>
      <w:r w:rsidR="00A77BCD">
        <w:rPr>
          <w:rFonts w:ascii="Garamond" w:eastAsia="Garamond" w:hAnsi="Garamond" w:cs="Garamond"/>
          <w:color w:val="000000"/>
          <w:vertAlign w:val="superscript"/>
        </w:rPr>
        <w:t>2</w:t>
      </w:r>
      <w:r w:rsidRPr="008D48F4">
        <w:rPr>
          <w:rFonts w:ascii="Garamond" w:eastAsia="Garamond" w:hAnsi="Garamond" w:cs="Garamond"/>
          <w:color w:val="000000"/>
        </w:rPr>
        <w:t xml:space="preserve"> is inhabited by around 10,562,088 people in 2020</w:t>
      </w:r>
      <w:r w:rsidR="008B1B8A">
        <w:rPr>
          <w:rFonts w:ascii="Garamond" w:eastAsia="Garamond" w:hAnsi="Garamond" w:cs="Garamond"/>
          <w:color w:val="000000"/>
        </w:rPr>
        <w:t>[</w:t>
      </w:r>
      <w:r w:rsidR="00FF17F1">
        <w:rPr>
          <w:rFonts w:ascii="Garamond" w:eastAsia="Garamond" w:hAnsi="Garamond" w:cs="Garamond"/>
          <w:color w:val="000000"/>
        </w:rPr>
        <w:t>3]</w:t>
      </w:r>
      <w:r w:rsidRPr="008D48F4">
        <w:rPr>
          <w:rFonts w:ascii="Garamond" w:eastAsia="Garamond" w:hAnsi="Garamond" w:cs="Garamond"/>
          <w:color w:val="000000"/>
        </w:rPr>
        <w:t>. Based on the cause, there are three main factors that can accelerate land subsidence, including: natural (geological) factors; groundwater withdrawal factors; and building mass factors. Excessive groundwater extraction is believed to be one of the main factors leading to land subsidence. This happens because there are still many DKI Jakarta residents who have not switched to using PAM RT (Household Drinking Water Management) water [1].</w:t>
      </w:r>
      <w:r w:rsidR="002352E6">
        <w:rPr>
          <w:rFonts w:ascii="Garamond" w:eastAsia="Garamond" w:hAnsi="Garamond" w:cs="Garamond"/>
          <w:color w:val="000000"/>
        </w:rPr>
        <w:t xml:space="preserve"> </w:t>
      </w:r>
    </w:p>
    <w:p w:rsidR="008D48F4" w:rsidRPr="00784380" w:rsidRDefault="008D48F4" w:rsidP="008948CC">
      <w:pPr>
        <w:pBdr>
          <w:top w:val="nil"/>
          <w:left w:val="nil"/>
          <w:bottom w:val="nil"/>
          <w:right w:val="nil"/>
          <w:between w:val="nil"/>
        </w:pBdr>
        <w:spacing w:after="0" w:line="276" w:lineRule="auto"/>
        <w:ind w:firstLine="426"/>
        <w:jc w:val="both"/>
        <w:rPr>
          <w:rFonts w:ascii="Garamond" w:eastAsia="Garamond" w:hAnsi="Garamond" w:cs="Garamond"/>
          <w:color w:val="000000"/>
          <w:lang w:val="id-ID"/>
        </w:rPr>
      </w:pPr>
      <w:r w:rsidRPr="008D48F4">
        <w:rPr>
          <w:rFonts w:ascii="Garamond" w:eastAsia="Garamond" w:hAnsi="Garamond" w:cs="Garamond"/>
          <w:color w:val="000000"/>
        </w:rPr>
        <w:lastRenderedPageBreak/>
        <w:t>Land Subsidence is the vertical change or deformation of the earth's surface in response to geological or anthropogenic aspects [2]. Slow or sudden subsidence of the land occurs at several centimeters per year. Such subsidence on the earth's surface is usually followed by physical changes that are clearly recognizable by their magnitude and speed of retreat. However, in the case of gradual subsidence, which is felt slowly after a long event, the rate of subsidence can be det</w:t>
      </w:r>
      <w:r w:rsidR="00784380">
        <w:rPr>
          <w:rFonts w:ascii="Garamond" w:eastAsia="Garamond" w:hAnsi="Garamond" w:cs="Garamond"/>
          <w:color w:val="000000"/>
        </w:rPr>
        <w:t>ermined by a periodic mechanism</w:t>
      </w:r>
      <w:r w:rsidR="00784380">
        <w:rPr>
          <w:rFonts w:ascii="Garamond" w:eastAsia="Garamond" w:hAnsi="Garamond" w:cs="Garamond"/>
          <w:color w:val="000000"/>
          <w:lang w:val="id-ID"/>
        </w:rPr>
        <w:t xml:space="preserve"> </w:t>
      </w:r>
      <w:r w:rsidRPr="008D48F4">
        <w:rPr>
          <w:rFonts w:ascii="Garamond" w:eastAsia="Garamond" w:hAnsi="Garamond" w:cs="Garamond"/>
          <w:color w:val="000000"/>
        </w:rPr>
        <w:t>[3]</w:t>
      </w:r>
      <w:r w:rsidR="00784380">
        <w:rPr>
          <w:rFonts w:ascii="Garamond" w:eastAsia="Garamond" w:hAnsi="Garamond" w:cs="Garamond"/>
          <w:color w:val="000000"/>
          <w:lang w:val="id-ID"/>
        </w:rPr>
        <w:t xml:space="preserve">. </w:t>
      </w:r>
    </w:p>
    <w:p w:rsidR="008D48F4" w:rsidRPr="008D48F4" w:rsidRDefault="002352E6" w:rsidP="008948CC">
      <w:pPr>
        <w:pBdr>
          <w:top w:val="nil"/>
          <w:left w:val="nil"/>
          <w:bottom w:val="nil"/>
          <w:right w:val="nil"/>
          <w:between w:val="nil"/>
        </w:pBdr>
        <w:spacing w:after="0" w:line="276" w:lineRule="auto"/>
        <w:ind w:firstLine="426"/>
        <w:jc w:val="both"/>
        <w:rPr>
          <w:rFonts w:ascii="Garamond" w:eastAsia="Garamond" w:hAnsi="Garamond" w:cs="Garamond"/>
          <w:color w:val="000000"/>
        </w:rPr>
      </w:pPr>
      <w:r w:rsidRPr="002352E6">
        <w:rPr>
          <w:rFonts w:ascii="Garamond" w:eastAsia="Garamond" w:hAnsi="Garamond" w:cs="Garamond"/>
          <w:color w:val="000000"/>
        </w:rPr>
        <w:t>Land subsidence can result from the growing demand for groundwater and the ongoing population expansion</w:t>
      </w:r>
      <w:r w:rsidR="00784380">
        <w:rPr>
          <w:rFonts w:ascii="Garamond" w:eastAsia="Garamond" w:hAnsi="Garamond" w:cs="Garamond"/>
          <w:color w:val="000000"/>
          <w:lang w:val="id-ID"/>
        </w:rPr>
        <w:t xml:space="preserve"> </w:t>
      </w:r>
      <w:r>
        <w:rPr>
          <w:rFonts w:ascii="Garamond" w:eastAsia="Garamond" w:hAnsi="Garamond" w:cs="Garamond"/>
          <w:color w:val="000000"/>
        </w:rPr>
        <w:t>[9]</w:t>
      </w:r>
      <w:r w:rsidRPr="002352E6">
        <w:rPr>
          <w:rFonts w:ascii="Garamond" w:eastAsia="Garamond" w:hAnsi="Garamond" w:cs="Garamond"/>
          <w:color w:val="000000"/>
        </w:rPr>
        <w:t>.</w:t>
      </w:r>
      <w:r w:rsidR="000C18A1">
        <w:rPr>
          <w:rFonts w:ascii="Garamond" w:eastAsia="Garamond" w:hAnsi="Garamond" w:cs="Garamond"/>
          <w:color w:val="000000"/>
        </w:rPr>
        <w:t xml:space="preserve"> </w:t>
      </w:r>
      <w:r w:rsidR="008D48F4" w:rsidRPr="008D48F4">
        <w:rPr>
          <w:rFonts w:ascii="Garamond" w:eastAsia="Garamond" w:hAnsi="Garamond" w:cs="Garamond"/>
          <w:color w:val="000000"/>
        </w:rPr>
        <w:t xml:space="preserve">Land subsidence is common in large cities due to increased water requirements in urban areas and water pumping activities through aquifers [4]. Excessive use of groundwater is mostly carried out in zones with the aquifer potential, the more potential aquifer zones are found, the more storage wells around the area, making it vulnerable to land subsidence [5]. According to </w:t>
      </w:r>
      <w:r w:rsidR="00432A44">
        <w:rPr>
          <w:rFonts w:ascii="Garamond" w:eastAsia="Garamond" w:hAnsi="Garamond" w:cs="Garamond"/>
          <w:color w:val="000000"/>
        </w:rPr>
        <w:t>[7]</w:t>
      </w:r>
      <w:r w:rsidR="008D48F4" w:rsidRPr="008D48F4">
        <w:rPr>
          <w:rFonts w:ascii="Garamond" w:eastAsia="Garamond" w:hAnsi="Garamond" w:cs="Garamond"/>
          <w:color w:val="000000"/>
        </w:rPr>
        <w:t xml:space="preserve"> in his research mentioned that after the dry season, subsidence increases, this is followed by increasing temperatures and groundwater extraction activities. Whereas during the rainy season, subsidence appears to decrease. It can be concluded that the value of non-linear subsidence decreases with seasonal variations.</w:t>
      </w:r>
    </w:p>
    <w:p w:rsidR="005A743C" w:rsidRPr="008D48F4" w:rsidRDefault="008D48F4" w:rsidP="008948CC">
      <w:pPr>
        <w:pBdr>
          <w:top w:val="nil"/>
          <w:left w:val="nil"/>
          <w:bottom w:val="nil"/>
          <w:right w:val="nil"/>
          <w:between w:val="nil"/>
        </w:pBdr>
        <w:spacing w:after="0" w:line="276" w:lineRule="auto"/>
        <w:ind w:firstLine="426"/>
        <w:jc w:val="both"/>
        <w:rPr>
          <w:rFonts w:ascii="Garamond" w:eastAsia="Garamond" w:hAnsi="Garamond" w:cs="Garamond"/>
          <w:color w:val="000000"/>
        </w:rPr>
      </w:pPr>
      <w:r w:rsidRPr="008D48F4">
        <w:rPr>
          <w:rFonts w:ascii="Garamond" w:eastAsia="Garamond" w:hAnsi="Garamond" w:cs="Garamond"/>
          <w:color w:val="000000"/>
        </w:rPr>
        <w:t xml:space="preserve">By looking at the factors that cause subsidence in the DKI Jakarta area, namely natural factors (geology), soil extraction factors, and building mass factors. The excessive groundwater extraction factor is believed to be one of the main factors that cause land subsidence the main factor that causes land subsidence. This happens because there are still many DKI Jakarta residents who have not switched to using PAM RT (household drinking water management) </w:t>
      </w:r>
      <w:r w:rsidR="00784380" w:rsidRPr="008D48F4">
        <w:rPr>
          <w:rFonts w:ascii="Garamond" w:eastAsia="Garamond" w:hAnsi="Garamond" w:cs="Garamond"/>
          <w:color w:val="000000"/>
        </w:rPr>
        <w:t>water [</w:t>
      </w:r>
      <w:r w:rsidRPr="008D48F4">
        <w:rPr>
          <w:rFonts w:ascii="Garamond" w:eastAsia="Garamond" w:hAnsi="Garamond" w:cs="Garamond"/>
          <w:color w:val="000000"/>
        </w:rPr>
        <w:t>1] and several other factors such as excessive groundwater mining activities, land use changes, uncontrolled development, and geological and hydrological conditions that allow subsidence. So data processing was carried out to obtain information in the form of the value of the subsidence range of the DKI Jakarta area that occurred during 2021. The data taken in the form of Sentinel 1A data is then processed using the SNAP application with the Differential Interferometry Synthetic Aperture Radar (DInSAR) method.</w:t>
      </w:r>
    </w:p>
    <w:p w:rsidR="006B7FF1" w:rsidRDefault="008D48F4" w:rsidP="008948CC">
      <w:pPr>
        <w:pBdr>
          <w:top w:val="nil"/>
          <w:left w:val="nil"/>
          <w:bottom w:val="nil"/>
          <w:right w:val="nil"/>
          <w:between w:val="nil"/>
        </w:pBdr>
        <w:spacing w:after="0" w:line="276" w:lineRule="auto"/>
        <w:ind w:firstLine="426"/>
        <w:jc w:val="both"/>
        <w:rPr>
          <w:rFonts w:ascii="Garamond" w:eastAsia="Garamond" w:hAnsi="Garamond" w:cs="Garamond"/>
          <w:color w:val="000000"/>
        </w:rPr>
      </w:pPr>
      <w:r w:rsidRPr="008D48F4">
        <w:rPr>
          <w:rFonts w:ascii="Garamond" w:eastAsia="Garamond" w:hAnsi="Garamond" w:cs="Garamond"/>
          <w:color w:val="000000"/>
        </w:rPr>
        <w:t xml:space="preserve">SNAP (Sentinel Application Platform) is software designed specifically for processing imagery from the Sentinel satellites, including Sentinel-1, Sentinel-2 and Sentinel-3 Toolbox. It is also capable of processing imagery from other satellites. </w:t>
      </w:r>
      <w:r w:rsidR="00047894" w:rsidRPr="00047894">
        <w:rPr>
          <w:rFonts w:ascii="Garamond" w:eastAsia="Garamond" w:hAnsi="Garamond" w:cs="Garamond"/>
          <w:color w:val="000000"/>
        </w:rPr>
        <w:t>The advantages of SNAP are 1). It can display satellite imagery very quickly, even for imagery with large storage sizes such as giga-pixel; 2). Reliable layer management that allows the addition and manipulation of overlays of various data; 3). Accurate reprojection and ortho-rectification process; 4). Can be used for geo-coding and rectification process using ground control points (GCP); 5). Can download the SRTM DEM for free according to the desired region.</w:t>
      </w:r>
      <w:r w:rsidR="00047894">
        <w:rPr>
          <w:rFonts w:ascii="Garamond" w:eastAsia="Garamond" w:hAnsi="Garamond" w:cs="Garamond"/>
          <w:color w:val="000000"/>
        </w:rPr>
        <w:t xml:space="preserve"> </w:t>
      </w:r>
      <w:r w:rsidRPr="008D48F4">
        <w:rPr>
          <w:rFonts w:ascii="Garamond" w:eastAsia="Garamond" w:hAnsi="Garamond" w:cs="Garamond"/>
          <w:color w:val="000000"/>
        </w:rPr>
        <w:t>After processing the imagery from the Sentinel satellites using the SNAP software, the next step was to map the area of DKI Jakarta and its surroundings. This was done using Google Earth software.</w:t>
      </w:r>
      <w:r w:rsidR="006B7FF1">
        <w:rPr>
          <w:rFonts w:ascii="Garamond" w:eastAsia="Garamond" w:hAnsi="Garamond" w:cs="Garamond"/>
          <w:color w:val="000000"/>
        </w:rPr>
        <w:t xml:space="preserve"> </w:t>
      </w:r>
    </w:p>
    <w:p w:rsidR="00F0609B" w:rsidRDefault="00F0609B" w:rsidP="008948CC">
      <w:pPr>
        <w:pBdr>
          <w:top w:val="nil"/>
          <w:left w:val="nil"/>
          <w:bottom w:val="nil"/>
          <w:right w:val="nil"/>
          <w:between w:val="nil"/>
        </w:pBdr>
        <w:spacing w:after="0" w:line="276" w:lineRule="auto"/>
        <w:ind w:firstLine="426"/>
        <w:jc w:val="both"/>
        <w:rPr>
          <w:rFonts w:ascii="Garamond" w:eastAsia="Garamond" w:hAnsi="Garamond" w:cs="Garamond"/>
          <w:color w:val="000000"/>
        </w:rPr>
      </w:pPr>
      <w:r>
        <w:rPr>
          <w:rFonts w:ascii="Garamond" w:eastAsia="Garamond" w:hAnsi="Garamond" w:cs="Garamond"/>
          <w:color w:val="000000"/>
        </w:rPr>
        <w:t>Study by [1] t</w:t>
      </w:r>
      <w:r w:rsidRPr="005A743C">
        <w:rPr>
          <w:rFonts w:ascii="Garamond" w:eastAsia="Garamond" w:hAnsi="Garamond" w:cs="Garamond"/>
          <w:color w:val="000000"/>
        </w:rPr>
        <w:t>he results show that the DKI Jakarta area experienced a reduction in size over a span of two years (2016-2017), with an annual decrease of -7.2 cm. This decline can be attributed to several key factors, primarily geological factors, specifically the presence of highly deformable alluvial deposits, as well as the impact of building mass loading and groundwater extraction</w:t>
      </w:r>
      <w:r w:rsidR="008A4CCA">
        <w:rPr>
          <w:rFonts w:ascii="Garamond" w:eastAsia="Garamond" w:hAnsi="Garamond" w:cs="Garamond"/>
          <w:color w:val="000000"/>
        </w:rPr>
        <w:t>. The final data show on Arcgis for mapping</w:t>
      </w:r>
      <w:r w:rsidR="00A41ADF">
        <w:rPr>
          <w:rFonts w:ascii="Garamond" w:eastAsia="Garamond" w:hAnsi="Garamond" w:cs="Garamond"/>
          <w:color w:val="000000"/>
        </w:rPr>
        <w:t xml:space="preserve">. </w:t>
      </w:r>
      <w:r w:rsidR="00B86481" w:rsidRPr="00B86481">
        <w:rPr>
          <w:rFonts w:ascii="Garamond" w:eastAsia="Garamond" w:hAnsi="Garamond" w:cs="Garamond"/>
          <w:color w:val="000000"/>
        </w:rPr>
        <w:t>This study still uses the DInSAR method with a different year period and the output is displayed on Googl</w:t>
      </w:r>
      <w:r w:rsidR="00B86481">
        <w:rPr>
          <w:rFonts w:ascii="Garamond" w:eastAsia="Garamond" w:hAnsi="Garamond" w:cs="Garamond"/>
          <w:color w:val="000000"/>
        </w:rPr>
        <w:t>e Earth.</w:t>
      </w:r>
    </w:p>
    <w:p w:rsidR="00FB61C9" w:rsidRDefault="008D48F4" w:rsidP="008948CC">
      <w:pPr>
        <w:pBdr>
          <w:top w:val="nil"/>
          <w:left w:val="nil"/>
          <w:bottom w:val="nil"/>
          <w:right w:val="nil"/>
          <w:between w:val="nil"/>
        </w:pBdr>
        <w:spacing w:after="0" w:line="276" w:lineRule="auto"/>
        <w:ind w:firstLine="426"/>
        <w:jc w:val="both"/>
        <w:rPr>
          <w:rFonts w:ascii="Garamond" w:eastAsia="Garamond" w:hAnsi="Garamond" w:cs="Garamond"/>
          <w:color w:val="000000"/>
          <w:sz w:val="22"/>
        </w:rPr>
      </w:pPr>
      <w:r w:rsidRPr="008D48F4">
        <w:rPr>
          <w:rFonts w:ascii="Garamond" w:eastAsia="Garamond" w:hAnsi="Garamond" w:cs="Garamond"/>
          <w:color w:val="000000"/>
        </w:rPr>
        <w:lastRenderedPageBreak/>
        <w:t xml:space="preserve">The use of the DInSAR method in processing land subsidence data. </w:t>
      </w:r>
      <w:r w:rsidR="007D0376" w:rsidRPr="007D0376">
        <w:rPr>
          <w:rFonts w:ascii="Garamond" w:eastAsia="Garamond" w:hAnsi="Garamond" w:cs="Garamond"/>
          <w:color w:val="000000"/>
        </w:rPr>
        <w:t xml:space="preserve">The DInSAR technique, which stands for Differential Interferometric Synthetic Aperture Radar, represents one of the radar technologies employed for mapping subsidence regions. It possesses the capability to rapidly assess extensive areas with high </w:t>
      </w:r>
      <w:r w:rsidR="00784380" w:rsidRPr="007D0376">
        <w:rPr>
          <w:rFonts w:ascii="Garamond" w:eastAsia="Garamond" w:hAnsi="Garamond" w:cs="Garamond"/>
          <w:color w:val="000000"/>
        </w:rPr>
        <w:t>precision</w:t>
      </w:r>
      <w:r w:rsidR="00784380">
        <w:rPr>
          <w:rFonts w:ascii="Garamond" w:eastAsia="Garamond" w:hAnsi="Garamond" w:cs="Garamond"/>
          <w:color w:val="000000"/>
        </w:rPr>
        <w:t xml:space="preserve"> [</w:t>
      </w:r>
      <w:r w:rsidR="007D0376">
        <w:rPr>
          <w:rFonts w:ascii="Garamond" w:eastAsia="Garamond" w:hAnsi="Garamond" w:cs="Garamond"/>
          <w:color w:val="000000"/>
        </w:rPr>
        <w:t>9]</w:t>
      </w:r>
      <w:r w:rsidR="007D0376" w:rsidRPr="007D0376">
        <w:rPr>
          <w:rFonts w:ascii="Garamond" w:eastAsia="Garamond" w:hAnsi="Garamond" w:cs="Garamond"/>
          <w:color w:val="000000"/>
        </w:rPr>
        <w:t>.</w:t>
      </w:r>
      <w:r w:rsidR="007D0376">
        <w:rPr>
          <w:rFonts w:ascii="Garamond" w:eastAsia="Garamond" w:hAnsi="Garamond" w:cs="Garamond"/>
          <w:color w:val="000000"/>
        </w:rPr>
        <w:t xml:space="preserve"> </w:t>
      </w:r>
      <w:r w:rsidRPr="008D48F4">
        <w:rPr>
          <w:rFonts w:ascii="Garamond" w:eastAsia="Garamond" w:hAnsi="Garamond" w:cs="Garamond"/>
          <w:color w:val="000000"/>
        </w:rPr>
        <w:t>Data obtained from land subsidence observations with accuracy in centimeters (cm). The use of this method is because of the small expenditure (open source) with the SNAP application tool</w:t>
      </w:r>
      <w:r w:rsidR="00E33552">
        <w:rPr>
          <w:rFonts w:ascii="Garamond" w:eastAsia="Garamond" w:hAnsi="Garamond" w:cs="Garamond"/>
          <w:color w:val="000000"/>
        </w:rPr>
        <w:t xml:space="preserve"> </w:t>
      </w:r>
      <w:r w:rsidR="00E33552" w:rsidRPr="00E33552">
        <w:rPr>
          <w:rFonts w:ascii="Garamond" w:eastAsia="Garamond" w:hAnsi="Garamond" w:cs="Garamond"/>
          <w:color w:val="000000"/>
        </w:rPr>
        <w:t>and represented in Google Earth</w:t>
      </w:r>
      <w:r w:rsidRPr="008D48F4">
        <w:rPr>
          <w:rFonts w:ascii="Garamond" w:eastAsia="Garamond" w:hAnsi="Garamond" w:cs="Garamond"/>
          <w:color w:val="000000"/>
        </w:rPr>
        <w:t>. Using the utilization of Sentinel 1A images with the DInSAR method can help accelerate the analysis and estimation of land subsidence rates. The method used in this research is DInSAR Two Pass Interferometry by utilizing two images that have different recording times, namely on January 4th, 2021 - December 30th, 2021.</w:t>
      </w:r>
    </w:p>
    <w:p w:rsidR="00FB61C9" w:rsidRDefault="00291ED8">
      <w:pPr>
        <w:pStyle w:val="Heading1"/>
        <w:numPr>
          <w:ilvl w:val="0"/>
          <w:numId w:val="3"/>
        </w:numPr>
        <w:spacing w:before="240" w:after="120" w:line="276" w:lineRule="auto"/>
        <w:ind w:left="426" w:hanging="426"/>
        <w:jc w:val="left"/>
        <w:rPr>
          <w:rFonts w:ascii="Garamond" w:eastAsia="Garamond" w:hAnsi="Garamond" w:cs="Garamond"/>
          <w:sz w:val="28"/>
          <w:szCs w:val="28"/>
        </w:rPr>
      </w:pPr>
      <w:r>
        <w:rPr>
          <w:rFonts w:ascii="Garamond" w:eastAsia="Garamond" w:hAnsi="Garamond" w:cs="Garamond"/>
          <w:sz w:val="28"/>
          <w:szCs w:val="28"/>
        </w:rPr>
        <w:t>Materials and Method</w:t>
      </w:r>
    </w:p>
    <w:p w:rsidR="008948CC" w:rsidRPr="00FB6B1A" w:rsidRDefault="00FB6B1A" w:rsidP="00474001">
      <w:pPr>
        <w:pBdr>
          <w:top w:val="nil"/>
          <w:left w:val="nil"/>
          <w:bottom w:val="nil"/>
          <w:right w:val="nil"/>
          <w:between w:val="nil"/>
        </w:pBdr>
        <w:spacing w:after="0" w:line="276" w:lineRule="auto"/>
        <w:ind w:firstLine="426"/>
        <w:jc w:val="both"/>
        <w:rPr>
          <w:rFonts w:ascii="Garamond" w:eastAsia="Garamond" w:hAnsi="Garamond" w:cs="Garamond"/>
          <w:color w:val="000000"/>
        </w:rPr>
      </w:pPr>
      <w:r w:rsidRPr="00FB6B1A">
        <w:rPr>
          <w:rFonts w:ascii="Garamond" w:eastAsia="Garamond" w:hAnsi="Garamond" w:cs="Garamond"/>
          <w:color w:val="000000"/>
        </w:rPr>
        <w:t xml:space="preserve">The interferometric phase of each SAR image pixel will only depend on the difference in the path of travel of each of the two SARs to the considered resolution cell. In addition, the computed interferogram contains phase variations, the phase of the Earth's surface </w:t>
      </w:r>
      <m:oMath>
        <m:sSub>
          <m:sSubPr>
            <m:ctrlPr>
              <w:rPr>
                <w:rFonts w:ascii="Cambria Math" w:eastAsia="Cambria Math" w:hAnsi="Cambria Math" w:cs="Cambria Math"/>
                <w:color w:val="000000"/>
              </w:rPr>
            </m:ctrlPr>
          </m:sSubPr>
          <m:e>
            <m:r>
              <w:rPr>
                <w:rFonts w:ascii="Cambria Math" w:hAnsi="Cambria Math"/>
              </w:rPr>
              <m:t>ϕ</m:t>
            </m:r>
          </m:e>
          <m:sub>
            <m:r>
              <w:rPr>
                <w:rFonts w:ascii="Cambria Math" w:eastAsia="Cambria Math" w:hAnsi="Cambria Math" w:cs="Cambria Math"/>
                <w:color w:val="000000"/>
              </w:rPr>
              <m:t>flat</m:t>
            </m:r>
          </m:sub>
        </m:sSub>
      </m:oMath>
      <w:r w:rsidR="009C0596" w:rsidRPr="00FB6B1A">
        <w:rPr>
          <w:rFonts w:ascii="Garamond" w:eastAsia="Garamond" w:hAnsi="Garamond" w:cs="Garamond"/>
          <w:color w:val="000000"/>
        </w:rPr>
        <w:t xml:space="preserve"> </w:t>
      </w:r>
      <w:r w:rsidRPr="00FB6B1A">
        <w:rPr>
          <w:rFonts w:ascii="Garamond" w:eastAsia="Garamond" w:hAnsi="Garamond" w:cs="Garamond"/>
          <w:color w:val="000000"/>
        </w:rPr>
        <w:t xml:space="preserve">(some contributing factors such as the Earth's phase/curvature), the phase of the topography </w:t>
      </w:r>
      <m:oMath>
        <m:sSub>
          <m:sSubPr>
            <m:ctrlPr>
              <w:rPr>
                <w:rFonts w:ascii="Cambria Math" w:eastAsia="Cambria Math" w:hAnsi="Cambria Math" w:cs="Cambria Math"/>
                <w:color w:val="000000"/>
              </w:rPr>
            </m:ctrlPr>
          </m:sSubPr>
          <m:e>
            <m:r>
              <w:rPr>
                <w:rFonts w:ascii="Cambria Math" w:hAnsi="Cambria Math"/>
              </w:rPr>
              <m:t>ϕ</m:t>
            </m:r>
          </m:e>
          <m:sub>
            <m:r>
              <w:rPr>
                <w:rFonts w:ascii="Cambria Math" w:eastAsia="Cambria Math" w:hAnsi="Cambria Math" w:cs="Cambria Math"/>
                <w:color w:val="000000"/>
              </w:rPr>
              <m:t>DEM</m:t>
            </m:r>
          </m:sub>
        </m:sSub>
      </m:oMath>
      <w:r w:rsidR="009C0596" w:rsidRPr="00FB6B1A">
        <w:rPr>
          <w:rFonts w:ascii="Garamond" w:eastAsia="Garamond" w:hAnsi="Garamond" w:cs="Garamond"/>
          <w:color w:val="000000"/>
        </w:rPr>
        <w:t xml:space="preserve"> </w:t>
      </w:r>
      <w:r w:rsidRPr="00FB6B1A">
        <w:rPr>
          <w:rFonts w:ascii="Garamond" w:eastAsia="Garamond" w:hAnsi="Garamond" w:cs="Garamond"/>
          <w:color w:val="000000"/>
        </w:rPr>
        <w:t xml:space="preserve">(the topography of the Earth's surface), the atmospheric conditions </w:t>
      </w:r>
      <w:r w:rsidR="009C0596" w:rsidRPr="00D3001F">
        <w:rPr>
          <w:szCs w:val="20"/>
          <w:lang w:val="id-ID"/>
        </w:rPr>
        <w:t xml:space="preserve"> </w:t>
      </w:r>
      <m:oMath>
        <m:sSub>
          <m:sSubPr>
            <m:ctrlPr>
              <w:rPr>
                <w:rFonts w:ascii="Cambria Math" w:eastAsia="Cambria Math" w:hAnsi="Cambria Math" w:cs="Cambria Math"/>
                <w:color w:val="000000"/>
              </w:rPr>
            </m:ctrlPr>
          </m:sSubPr>
          <m:e>
            <m:r>
              <w:rPr>
                <w:rFonts w:ascii="Cambria Math" w:hAnsi="Cambria Math"/>
              </w:rPr>
              <m:t>ϕ</m:t>
            </m:r>
          </m:e>
          <m:sub>
            <m:r>
              <w:rPr>
                <w:rFonts w:ascii="Cambria Math" w:eastAsia="Cambria Math" w:hAnsi="Cambria Math" w:cs="Cambria Math"/>
                <w:color w:val="000000"/>
              </w:rPr>
              <m:t>atm</m:t>
            </m:r>
          </m:sub>
        </m:sSub>
      </m:oMath>
      <w:r w:rsidR="009C0596" w:rsidRPr="00FB6B1A">
        <w:rPr>
          <w:rFonts w:ascii="Garamond" w:eastAsia="Garamond" w:hAnsi="Garamond" w:cs="Garamond"/>
          <w:color w:val="000000"/>
        </w:rPr>
        <w:t xml:space="preserve"> </w:t>
      </w:r>
      <w:r w:rsidRPr="00FB6B1A">
        <w:rPr>
          <w:rFonts w:ascii="Garamond" w:eastAsia="Garamond" w:hAnsi="Garamond" w:cs="Garamond"/>
          <w:color w:val="000000"/>
        </w:rPr>
        <w:t xml:space="preserve">(temperature, and pressure changes between the two acquisitions), and the noise </w:t>
      </w:r>
      <m:oMath>
        <m:sSub>
          <m:sSubPr>
            <m:ctrlPr>
              <w:rPr>
                <w:rFonts w:ascii="Cambria Math" w:eastAsia="Cambria Math" w:hAnsi="Cambria Math" w:cs="Cambria Math"/>
                <w:color w:val="000000"/>
              </w:rPr>
            </m:ctrlPr>
          </m:sSubPr>
          <m:e>
            <m:r>
              <w:rPr>
                <w:rFonts w:ascii="Cambria Math" w:hAnsi="Cambria Math"/>
              </w:rPr>
              <m:t>ϕ</m:t>
            </m:r>
          </m:e>
          <m:sub>
            <m:r>
              <w:rPr>
                <w:rFonts w:ascii="Cambria Math" w:eastAsia="Cambria Math" w:hAnsi="Cambria Math" w:cs="Cambria Math"/>
                <w:color w:val="000000"/>
              </w:rPr>
              <m:t>noise</m:t>
            </m:r>
          </m:sub>
        </m:sSub>
      </m:oMath>
      <w:r w:rsidR="008B539D" w:rsidRPr="00FB6B1A">
        <w:rPr>
          <w:rFonts w:ascii="Garamond" w:eastAsia="Garamond" w:hAnsi="Garamond" w:cs="Garamond"/>
          <w:color w:val="000000"/>
        </w:rPr>
        <w:t xml:space="preserve"> </w:t>
      </w:r>
      <w:r w:rsidRPr="00FB6B1A">
        <w:rPr>
          <w:rFonts w:ascii="Garamond" w:eastAsia="Garamond" w:hAnsi="Garamond" w:cs="Garamond"/>
          <w:color w:val="000000"/>
        </w:rPr>
        <w:t xml:space="preserve">(changes in spew, angle difference and spew volume) and finally the surface deformation </w:t>
      </w:r>
      <m:oMath>
        <m:sSub>
          <m:sSubPr>
            <m:ctrlPr>
              <w:rPr>
                <w:rFonts w:ascii="Cambria Math" w:eastAsia="Cambria Math" w:hAnsi="Cambria Math" w:cs="Cambria Math"/>
                <w:color w:val="000000"/>
              </w:rPr>
            </m:ctrlPr>
          </m:sSubPr>
          <m:e>
            <m:r>
              <w:rPr>
                <w:rFonts w:ascii="Cambria Math" w:hAnsi="Cambria Math"/>
              </w:rPr>
              <m:t>ϕ</m:t>
            </m:r>
          </m:e>
          <m:sub>
            <m:r>
              <w:rPr>
                <w:rFonts w:ascii="Cambria Math" w:eastAsia="Cambria Math" w:hAnsi="Cambria Math" w:cs="Cambria Math"/>
                <w:color w:val="000000"/>
              </w:rPr>
              <m:t>disp</m:t>
            </m:r>
          </m:sub>
        </m:sSub>
      </m:oMath>
      <w:r w:rsidRPr="00FB6B1A">
        <w:rPr>
          <w:rFonts w:ascii="Garamond" w:eastAsia="Garamond" w:hAnsi="Garamond" w:cs="Garamond"/>
          <w:color w:val="000000"/>
        </w:rPr>
        <w:t>that occurred between the acquisitions.</w:t>
      </w:r>
    </w:p>
    <w:p w:rsidR="008948CC" w:rsidRPr="009463CE" w:rsidRDefault="00474001" w:rsidP="00474001">
      <w:pPr>
        <w:spacing w:line="276" w:lineRule="auto"/>
        <w:ind w:firstLine="426"/>
        <w:rPr>
          <w:color w:val="000000"/>
          <w:lang w:val="id-ID"/>
        </w:rPr>
      </w:pPr>
      <w:r>
        <w:rPr>
          <w:noProof/>
          <w:color w:val="000000"/>
          <w:lang w:val="id-ID"/>
        </w:rPr>
        <w:drawing>
          <wp:inline distT="0" distB="0" distL="0" distR="0">
            <wp:extent cx="3084245" cy="428368"/>
            <wp:effectExtent l="0" t="0" r="1905"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23-09-30 at 11.34.20.png"/>
                    <pic:cNvPicPr/>
                  </pic:nvPicPr>
                  <pic:blipFill>
                    <a:blip r:embed="rId16">
                      <a:extLst>
                        <a:ext uri="{28A0092B-C50C-407E-A947-70E740481C1C}">
                          <a14:useLocalDpi xmlns:a14="http://schemas.microsoft.com/office/drawing/2010/main" val="0"/>
                        </a:ext>
                      </a:extLst>
                    </a:blip>
                    <a:stretch>
                      <a:fillRect/>
                    </a:stretch>
                  </pic:blipFill>
                  <pic:spPr>
                    <a:xfrm>
                      <a:off x="0" y="0"/>
                      <a:ext cx="3099234" cy="430450"/>
                    </a:xfrm>
                    <a:prstGeom prst="rect">
                      <a:avLst/>
                    </a:prstGeom>
                  </pic:spPr>
                </pic:pic>
              </a:graphicData>
            </a:graphic>
          </wp:inline>
        </w:drawing>
      </w:r>
      <w:r>
        <w:rPr>
          <w:color w:val="000000"/>
          <w:lang w:val="id-ID"/>
        </w:rPr>
        <w:tab/>
      </w:r>
      <w:r>
        <w:rPr>
          <w:color w:val="000000"/>
          <w:lang w:val="id-ID"/>
        </w:rPr>
        <w:tab/>
      </w:r>
      <w:r>
        <w:rPr>
          <w:color w:val="000000"/>
          <w:lang w:val="id-ID"/>
        </w:rPr>
        <w:tab/>
      </w:r>
      <w:r>
        <w:rPr>
          <w:color w:val="000000"/>
          <w:lang w:val="id-ID"/>
        </w:rPr>
        <w:tab/>
      </w:r>
      <w:r w:rsidR="00E03473" w:rsidRPr="009463CE">
        <w:rPr>
          <w:color w:val="000000"/>
          <w:lang w:val="id-ID"/>
        </w:rPr>
        <w:t>(1)</w:t>
      </w:r>
    </w:p>
    <w:p w:rsidR="00FB6B1A" w:rsidRPr="00FB6B1A" w:rsidRDefault="00FB6B1A" w:rsidP="008948CC">
      <w:pPr>
        <w:pBdr>
          <w:top w:val="nil"/>
          <w:left w:val="nil"/>
          <w:bottom w:val="nil"/>
          <w:right w:val="nil"/>
          <w:between w:val="nil"/>
        </w:pBdr>
        <w:spacing w:after="0" w:line="276" w:lineRule="auto"/>
        <w:ind w:firstLine="426"/>
        <w:jc w:val="both"/>
        <w:rPr>
          <w:rFonts w:ascii="Garamond" w:eastAsia="Garamond" w:hAnsi="Garamond" w:cs="Garamond"/>
          <w:color w:val="000000"/>
        </w:rPr>
      </w:pPr>
      <w:r w:rsidRPr="00FB6B1A">
        <w:rPr>
          <w:rFonts w:ascii="Garamond" w:eastAsia="Garamond" w:hAnsi="Garamond" w:cs="Garamond"/>
          <w:color w:val="000000"/>
        </w:rPr>
        <w:t xml:space="preserve">Differential SAR interferometry is used to estimate the earth surface subsidence </w:t>
      </w:r>
      <w:r w:rsidR="00705F3A" w:rsidRPr="00FD1072">
        <w:rPr>
          <w:szCs w:val="20"/>
          <w:lang w:val="id-ID"/>
        </w:rPr>
        <w:t xml:space="preserve">subsidence </w:t>
      </w:r>
      <m:oMath>
        <m:sSub>
          <m:sSubPr>
            <m:ctrlPr>
              <w:rPr>
                <w:rFonts w:ascii="Cambria Math" w:eastAsia="Cambria Math" w:hAnsi="Cambria Math" w:cs="Cambria Math"/>
                <w:color w:val="000000"/>
                <w:szCs w:val="24"/>
              </w:rPr>
            </m:ctrlPr>
          </m:sSubPr>
          <m:e>
            <m:r>
              <w:rPr>
                <w:rFonts w:ascii="Cambria Math" w:hAnsi="Cambria Math"/>
              </w:rPr>
              <m:t>ϕ</m:t>
            </m:r>
          </m:e>
          <m:sub>
            <m:r>
              <w:rPr>
                <w:rFonts w:ascii="Cambria Math" w:eastAsia="Cambria Math" w:hAnsi="Cambria Math" w:cs="Cambria Math"/>
                <w:color w:val="000000"/>
              </w:rPr>
              <m:t>flat</m:t>
            </m:r>
          </m:sub>
        </m:sSub>
      </m:oMath>
      <w:r w:rsidR="00705F3A" w:rsidRPr="00FD1072">
        <w:rPr>
          <w:szCs w:val="20"/>
          <w:lang w:val="id-ID"/>
        </w:rPr>
        <w:t xml:space="preserve"> </w:t>
      </w:r>
      <w:r w:rsidRPr="00FB6B1A">
        <w:rPr>
          <w:rFonts w:ascii="Garamond" w:eastAsia="Garamond" w:hAnsi="Garamond" w:cs="Garamond"/>
          <w:color w:val="000000"/>
        </w:rPr>
        <w:t xml:space="preserve">and </w:t>
      </w:r>
      <m:oMath>
        <m:sSub>
          <m:sSubPr>
            <m:ctrlPr>
              <w:rPr>
                <w:rFonts w:ascii="Cambria Math" w:eastAsia="Cambria Math" w:hAnsi="Cambria Math" w:cs="Cambria Math"/>
                <w:color w:val="000000"/>
                <w:szCs w:val="24"/>
              </w:rPr>
            </m:ctrlPr>
          </m:sSubPr>
          <m:e>
            <m:r>
              <w:rPr>
                <w:rFonts w:ascii="Cambria Math" w:hAnsi="Cambria Math"/>
              </w:rPr>
              <m:t>ϕ</m:t>
            </m:r>
          </m:e>
          <m:sub>
            <m:r>
              <w:rPr>
                <w:rFonts w:ascii="Cambria Math" w:eastAsia="Cambria Math" w:hAnsi="Cambria Math" w:cs="Cambria Math"/>
                <w:color w:val="000000"/>
              </w:rPr>
              <m:t>DEM</m:t>
            </m:r>
          </m:sub>
        </m:sSub>
      </m:oMath>
      <w:r w:rsidRPr="00FB6B1A">
        <w:rPr>
          <w:rFonts w:ascii="Garamond" w:eastAsia="Garamond" w:hAnsi="Garamond" w:cs="Garamond"/>
          <w:color w:val="000000"/>
        </w:rPr>
        <w:t xml:space="preserve">which are considered the same for both image acquisitions and remove them from the interferogram so that the remaining phase variations can be attributed to the surface elevation changes between the two </w:t>
      </w:r>
      <w:r w:rsidR="00784380" w:rsidRPr="00FB6B1A">
        <w:rPr>
          <w:rFonts w:ascii="Garamond" w:eastAsia="Garamond" w:hAnsi="Garamond" w:cs="Garamond"/>
          <w:color w:val="000000"/>
        </w:rPr>
        <w:t>images</w:t>
      </w:r>
      <w:r w:rsidRPr="00FB6B1A">
        <w:rPr>
          <w:rFonts w:ascii="Garamond" w:eastAsia="Garamond" w:hAnsi="Garamond" w:cs="Garamond"/>
          <w:color w:val="000000"/>
        </w:rPr>
        <w:t xml:space="preserve"> acquisitions.</w:t>
      </w:r>
      <w:r w:rsidR="00E327E9">
        <w:rPr>
          <w:rFonts w:ascii="Garamond" w:eastAsia="Garamond" w:hAnsi="Garamond" w:cs="Garamond"/>
          <w:color w:val="000000"/>
        </w:rPr>
        <w:t xml:space="preserve"> </w:t>
      </w:r>
      <w:r w:rsidR="00E327E9" w:rsidRPr="00E327E9">
        <w:rPr>
          <w:rFonts w:ascii="Garamond" w:eastAsia="Garamond" w:hAnsi="Garamond" w:cs="Garamond"/>
          <w:color w:val="000000"/>
        </w:rPr>
        <w:t xml:space="preserve">So to get the deformation effect, the differential </w:t>
      </w:r>
      <w:r w:rsidR="00784380" w:rsidRPr="00E327E9">
        <w:rPr>
          <w:rFonts w:ascii="Garamond" w:eastAsia="Garamond" w:hAnsi="Garamond" w:cs="Garamond"/>
          <w:color w:val="000000"/>
        </w:rPr>
        <w:t>interferometry</w:t>
      </w:r>
      <w:r w:rsidR="00E327E9" w:rsidRPr="00E327E9">
        <w:rPr>
          <w:rFonts w:ascii="Garamond" w:eastAsia="Garamond" w:hAnsi="Garamond" w:cs="Garamond"/>
          <w:color w:val="000000"/>
        </w:rPr>
        <w:t xml:space="preserve"> method must be done or by differentiating the 2 interferograms and removing the influence of topography, noise, and atmosphere.</w:t>
      </w:r>
    </w:p>
    <w:p w:rsidR="003F5458" w:rsidRDefault="00FB6B1A" w:rsidP="003F5458">
      <w:pPr>
        <w:pBdr>
          <w:top w:val="nil"/>
          <w:left w:val="nil"/>
          <w:bottom w:val="nil"/>
          <w:right w:val="nil"/>
          <w:between w:val="nil"/>
        </w:pBdr>
        <w:spacing w:after="0" w:line="276" w:lineRule="auto"/>
        <w:ind w:firstLine="426"/>
        <w:jc w:val="both"/>
        <w:rPr>
          <w:rFonts w:ascii="Garamond" w:eastAsia="Garamond" w:hAnsi="Garamond" w:cs="Garamond"/>
          <w:color w:val="000000"/>
        </w:rPr>
      </w:pPr>
      <w:r w:rsidRPr="00FB6B1A">
        <w:rPr>
          <w:rFonts w:ascii="Garamond" w:eastAsia="Garamond" w:hAnsi="Garamond" w:cs="Garamond"/>
          <w:color w:val="000000"/>
        </w:rPr>
        <w:t>In addition to the interferometric phase coherence between the reference and secondary images by estimating indicators for the quality of the base information. Basically, it indicates if the images have strong similarity therefore used for interferometric processing, loss of coherence can result in poor interferometric results due to temporal (vegetation and water bodies), geometric (errors or mismatches in the metaorbit). So to get the deformation effect, the differential interferomtery method must be done or by differentiating the 2 interferograms and removing the influence of topography, noise, and atmosphere.</w:t>
      </w:r>
    </w:p>
    <w:p w:rsidR="00FB6B1A" w:rsidRDefault="00FB6B1A" w:rsidP="003F5458">
      <w:pPr>
        <w:pBdr>
          <w:top w:val="nil"/>
          <w:left w:val="nil"/>
          <w:bottom w:val="nil"/>
          <w:right w:val="nil"/>
          <w:between w:val="nil"/>
        </w:pBdr>
        <w:spacing w:after="0" w:line="276" w:lineRule="auto"/>
        <w:ind w:firstLine="426"/>
        <w:jc w:val="both"/>
        <w:rPr>
          <w:rFonts w:ascii="Garamond" w:eastAsia="Garamond" w:hAnsi="Garamond" w:cs="Garamond"/>
          <w:color w:val="000000"/>
        </w:rPr>
      </w:pPr>
      <w:r w:rsidRPr="00FB6B1A">
        <w:rPr>
          <w:rFonts w:ascii="Garamond" w:eastAsia="Garamond" w:hAnsi="Garamond" w:cs="Garamond"/>
          <w:color w:val="000000"/>
        </w:rPr>
        <w:t xml:space="preserve">The data is processed using the interferogram method after inputting the data. In the interferogram formation display, subtract flat-earth phase, subtract topographic phase, include coherence estimation and most importantly use back geocoding with DEM SRTM 1 sec </w:t>
      </w:r>
      <w:r w:rsidR="00784380" w:rsidRPr="00FB6B1A">
        <w:rPr>
          <w:rFonts w:ascii="Garamond" w:eastAsia="Garamond" w:hAnsi="Garamond" w:cs="Garamond"/>
          <w:color w:val="000000"/>
        </w:rPr>
        <w:t>the</w:t>
      </w:r>
      <w:r w:rsidRPr="00FB6B1A">
        <w:rPr>
          <w:rFonts w:ascii="Garamond" w:eastAsia="Garamond" w:hAnsi="Garamond" w:cs="Garamond"/>
          <w:color w:val="000000"/>
        </w:rPr>
        <w:t xml:space="preserve"> process steps of data processing from start to analysis are illustrated in the </w:t>
      </w:r>
      <w:r w:rsidR="003F5458">
        <w:rPr>
          <w:rFonts w:ascii="Garamond" w:eastAsia="Garamond" w:hAnsi="Garamond" w:cs="Garamond"/>
          <w:color w:val="000000"/>
        </w:rPr>
        <w:t>F</w:t>
      </w:r>
      <w:r w:rsidRPr="00FB6B1A">
        <w:rPr>
          <w:rFonts w:ascii="Garamond" w:eastAsia="Garamond" w:hAnsi="Garamond" w:cs="Garamond"/>
          <w:color w:val="000000"/>
        </w:rPr>
        <w:t>igure 1 below:</w:t>
      </w:r>
    </w:p>
    <w:p w:rsidR="008948CC" w:rsidRDefault="008948CC" w:rsidP="008948CC">
      <w:pPr>
        <w:pBdr>
          <w:top w:val="nil"/>
          <w:left w:val="nil"/>
          <w:bottom w:val="nil"/>
          <w:right w:val="nil"/>
          <w:between w:val="nil"/>
        </w:pBdr>
        <w:spacing w:after="0" w:line="276" w:lineRule="auto"/>
        <w:ind w:firstLine="426"/>
        <w:jc w:val="both"/>
        <w:rPr>
          <w:rFonts w:ascii="Garamond" w:eastAsia="Garamond" w:hAnsi="Garamond" w:cs="Garamond"/>
          <w:color w:val="000000"/>
        </w:rPr>
      </w:pPr>
    </w:p>
    <w:p w:rsidR="00474001" w:rsidRDefault="00474001" w:rsidP="00474001">
      <w:pPr>
        <w:pStyle w:val="Caption"/>
        <w:spacing w:after="0"/>
        <w:jc w:val="center"/>
        <w:rPr>
          <w:rFonts w:ascii="Garamond" w:hAnsi="Garamond"/>
          <w:i w:val="0"/>
          <w:iCs w:val="0"/>
          <w:color w:val="auto"/>
          <w:sz w:val="24"/>
          <w:szCs w:val="24"/>
        </w:rPr>
      </w:pPr>
      <w:r>
        <w:rPr>
          <w:rFonts w:ascii="Garamond" w:hAnsi="Garamond"/>
          <w:i w:val="0"/>
          <w:iCs w:val="0"/>
          <w:noProof/>
          <w:color w:val="auto"/>
          <w:sz w:val="24"/>
          <w:szCs w:val="24"/>
        </w:rPr>
        <w:lastRenderedPageBreak/>
        <w:drawing>
          <wp:inline distT="0" distB="0" distL="0" distR="0">
            <wp:extent cx="5760720" cy="266001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3-09-30 at 11.31.10.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2660015"/>
                    </a:xfrm>
                    <a:prstGeom prst="rect">
                      <a:avLst/>
                    </a:prstGeom>
                  </pic:spPr>
                </pic:pic>
              </a:graphicData>
            </a:graphic>
          </wp:inline>
        </w:drawing>
      </w:r>
    </w:p>
    <w:p w:rsidR="00474001" w:rsidRPr="00474001" w:rsidRDefault="00474001" w:rsidP="00474001">
      <w:pPr>
        <w:pStyle w:val="Caption"/>
        <w:jc w:val="center"/>
        <w:rPr>
          <w:rFonts w:ascii="Garamond" w:hAnsi="Garamond" w:cs="Times New Roman"/>
          <w:i w:val="0"/>
          <w:iCs w:val="0"/>
          <w:color w:val="auto"/>
          <w:sz w:val="24"/>
          <w:szCs w:val="24"/>
        </w:rPr>
      </w:pPr>
      <w:r w:rsidRPr="00046CB0">
        <w:rPr>
          <w:rFonts w:ascii="Garamond" w:hAnsi="Garamond"/>
          <w:i w:val="0"/>
          <w:iCs w:val="0"/>
          <w:color w:val="auto"/>
          <w:sz w:val="24"/>
          <w:szCs w:val="24"/>
        </w:rPr>
        <w:t>Figure</w:t>
      </w:r>
      <w:r>
        <w:rPr>
          <w:rFonts w:ascii="Garamond" w:hAnsi="Garamond"/>
          <w:i w:val="0"/>
          <w:iCs w:val="0"/>
          <w:color w:val="auto"/>
          <w:sz w:val="24"/>
          <w:szCs w:val="24"/>
        </w:rPr>
        <w:t xml:space="preserve"> 1</w:t>
      </w:r>
      <w:r w:rsidRPr="00046CB0">
        <w:rPr>
          <w:rFonts w:ascii="Garamond" w:hAnsi="Garamond" w:cs="Times New Roman"/>
          <w:i w:val="0"/>
          <w:iCs w:val="0"/>
          <w:color w:val="auto"/>
          <w:sz w:val="24"/>
          <w:szCs w:val="24"/>
        </w:rPr>
        <w:t xml:space="preserve">. </w:t>
      </w:r>
      <w:r w:rsidRPr="00B07277">
        <w:rPr>
          <w:rFonts w:ascii="Garamond" w:hAnsi="Garamond" w:cs="Times New Roman"/>
          <w:i w:val="0"/>
          <w:iCs w:val="0"/>
          <w:color w:val="auto"/>
          <w:sz w:val="24"/>
          <w:szCs w:val="24"/>
        </w:rPr>
        <w:t>Data Processing Flowchart</w:t>
      </w:r>
    </w:p>
    <w:p w:rsidR="00883E71" w:rsidRDefault="00FB6B1A" w:rsidP="00FB6B1A">
      <w:pPr>
        <w:pBdr>
          <w:top w:val="nil"/>
          <w:left w:val="nil"/>
          <w:bottom w:val="nil"/>
          <w:right w:val="nil"/>
          <w:between w:val="nil"/>
        </w:pBdr>
        <w:spacing w:after="0" w:line="276" w:lineRule="auto"/>
        <w:ind w:firstLine="426"/>
        <w:jc w:val="both"/>
        <w:rPr>
          <w:rFonts w:ascii="Garamond" w:eastAsia="Garamond" w:hAnsi="Garamond" w:cs="Garamond"/>
          <w:color w:val="000000"/>
        </w:rPr>
      </w:pPr>
      <w:r w:rsidRPr="00FB6B1A">
        <w:rPr>
          <w:rFonts w:ascii="Garamond" w:eastAsia="Garamond" w:hAnsi="Garamond" w:cs="Garamond"/>
          <w:color w:val="000000"/>
        </w:rPr>
        <w:t xml:space="preserve">Based on Figure 1 the process the data processing begins with the preparation phase, where satellite radar data is collected for two different time periods. </w:t>
      </w:r>
      <w:r w:rsidR="008B539D">
        <w:rPr>
          <w:rFonts w:ascii="Garamond" w:eastAsia="Garamond" w:hAnsi="Garamond" w:cs="Garamond"/>
          <w:color w:val="000000"/>
        </w:rPr>
        <w:t>The data get from the</w:t>
      </w:r>
      <w:r w:rsidR="00587E1D">
        <w:rPr>
          <w:rFonts w:ascii="Garamond" w:eastAsia="Garamond" w:hAnsi="Garamond" w:cs="Garamond"/>
          <w:color w:val="000000"/>
        </w:rPr>
        <w:t xml:space="preserve"> website scihub </w:t>
      </w:r>
      <w:r w:rsidR="001D2827">
        <w:rPr>
          <w:rFonts w:ascii="Garamond" w:eastAsia="Garamond" w:hAnsi="Garamond" w:cs="Garamond"/>
          <w:color w:val="000000"/>
        </w:rPr>
        <w:t>Copernicus</w:t>
      </w:r>
      <w:r w:rsidR="00461E0D">
        <w:rPr>
          <w:rFonts w:ascii="Garamond" w:eastAsia="Garamond" w:hAnsi="Garamond" w:cs="Garamond"/>
          <w:color w:val="000000"/>
        </w:rPr>
        <w:t xml:space="preserve"> </w:t>
      </w:r>
      <w:r w:rsidR="00461E0D" w:rsidRPr="00461E0D">
        <w:rPr>
          <w:rFonts w:ascii="Garamond" w:eastAsia="Garamond" w:hAnsi="Garamond" w:cs="Garamond"/>
          <w:color w:val="000000"/>
        </w:rPr>
        <w:t>with Single Look Complex (SLC) data specifications, VV+VH Polarization, Decending Method, in the range of January 1 - December 31, 2021</w:t>
      </w:r>
      <w:r w:rsidR="00461E0D">
        <w:rPr>
          <w:rFonts w:ascii="Garamond" w:eastAsia="Garamond" w:hAnsi="Garamond" w:cs="Garamond"/>
          <w:color w:val="000000"/>
        </w:rPr>
        <w:t xml:space="preserve">. </w:t>
      </w:r>
      <w:r w:rsidRPr="00FB6B1A">
        <w:rPr>
          <w:rFonts w:ascii="Garamond" w:eastAsia="Garamond" w:hAnsi="Garamond" w:cs="Garamond"/>
          <w:color w:val="000000"/>
        </w:rPr>
        <w:t>Data Input retrieved from the satellite, including the radar data from the two observation periods, is used as input in the processing. S1 TOPS Coregistration where two radar images from different times are set in the right position to minimize the position and rotation differences.</w:t>
      </w:r>
      <w:r w:rsidR="00883E71">
        <w:rPr>
          <w:rFonts w:ascii="Garamond" w:eastAsia="Garamond" w:hAnsi="Garamond" w:cs="Garamond"/>
          <w:color w:val="000000"/>
        </w:rPr>
        <w:t xml:space="preserve"> </w:t>
      </w:r>
      <w:r w:rsidR="00883E71" w:rsidRPr="00883E71">
        <w:rPr>
          <w:rFonts w:ascii="Garamond" w:eastAsia="Garamond" w:hAnsi="Garamond" w:cs="Garamond"/>
          <w:color w:val="000000"/>
        </w:rPr>
        <w:t>In this case TopSAR-Split is useful to select data only in bursts needed for analysis (subswath: IW3, polarizations: VV, bursts: 1-4) by Back-Geocoding with DEM (digital elevation model) SRTM 1 sec and bilinear interpolation method which aims to increase or decrease the number of pixels in digital images so as to produce good images.</w:t>
      </w:r>
      <w:r w:rsidRPr="00FB6B1A">
        <w:rPr>
          <w:rFonts w:ascii="Garamond" w:eastAsia="Garamond" w:hAnsi="Garamond" w:cs="Garamond"/>
          <w:color w:val="000000"/>
        </w:rPr>
        <w:t xml:space="preserve"> After coregistration, the steps is Interferogram, the two radar images are used to create an interferogram image, which shows the phase change of the radar waves between two observation periods. This helps in identifying changes in the distance of the earth's surface. </w:t>
      </w:r>
    </w:p>
    <w:p w:rsidR="0096175E" w:rsidRDefault="00FB6B1A" w:rsidP="00883E71">
      <w:pPr>
        <w:pBdr>
          <w:top w:val="nil"/>
          <w:left w:val="nil"/>
          <w:bottom w:val="nil"/>
          <w:right w:val="nil"/>
          <w:between w:val="nil"/>
        </w:pBdr>
        <w:spacing w:after="0" w:line="276" w:lineRule="auto"/>
        <w:ind w:firstLine="426"/>
        <w:jc w:val="both"/>
        <w:rPr>
          <w:rFonts w:ascii="Garamond" w:eastAsia="Garamond" w:hAnsi="Garamond" w:cs="Garamond"/>
          <w:color w:val="000000"/>
        </w:rPr>
      </w:pPr>
      <w:r w:rsidRPr="00FB6B1A">
        <w:rPr>
          <w:rFonts w:ascii="Garamond" w:eastAsia="Garamond" w:hAnsi="Garamond" w:cs="Garamond"/>
          <w:color w:val="000000"/>
        </w:rPr>
        <w:t>TOPSAR Deburst, this process converts radar data that has a burst format into more structured and processable data. Bursts are sections of radar data that are taken over a short period. Subset is the selection of certain regions of the interferogram image for further processing. Multilook is the process of combining multiple pixels in the image to improve spatial resolution and reduce noise</w:t>
      </w:r>
      <w:r w:rsidR="00883E71">
        <w:rPr>
          <w:rFonts w:ascii="Garamond" w:eastAsia="Garamond" w:hAnsi="Garamond" w:cs="Garamond"/>
          <w:color w:val="000000"/>
        </w:rPr>
        <w:t xml:space="preserve">. </w:t>
      </w:r>
      <w:r w:rsidRPr="00FB6B1A">
        <w:rPr>
          <w:rFonts w:ascii="Garamond" w:eastAsia="Garamond" w:hAnsi="Garamond" w:cs="Garamond"/>
          <w:color w:val="000000"/>
        </w:rPr>
        <w:t xml:space="preserve">The next steps, Goldstein Phase Filtering, this process applies a phase filtration technique based on the Goldstein method to remove noise and artifacts from the interferogram image. SNAPHU Export, Snaphu Unwrapping, SNAPHU, A phase unwrapping process is performed on the interferogram image to obtain more precise displacement data. Place to Displacement </w:t>
      </w:r>
      <w:r w:rsidR="00784380" w:rsidRPr="00FB6B1A">
        <w:rPr>
          <w:rFonts w:ascii="Garamond" w:eastAsia="Garamond" w:hAnsi="Garamond" w:cs="Garamond"/>
          <w:color w:val="000000"/>
        </w:rPr>
        <w:t>the</w:t>
      </w:r>
      <w:r w:rsidRPr="00FB6B1A">
        <w:rPr>
          <w:rFonts w:ascii="Garamond" w:eastAsia="Garamond" w:hAnsi="Garamond" w:cs="Garamond"/>
          <w:color w:val="000000"/>
        </w:rPr>
        <w:t xml:space="preserve"> phase data that has been parsed is then converted into displacement data, which represents the change in distance of the earth's surface between two observation periods. Next, Terrain Correction, this process involves correcting the effects of topography on the data, so that the observed surface changes are not affected by topographic height differences. Save as File as KMZ</w:t>
      </w:r>
      <w:r w:rsidR="003F5458">
        <w:rPr>
          <w:rFonts w:ascii="Garamond" w:eastAsia="Garamond" w:hAnsi="Garamond" w:cs="Garamond"/>
          <w:color w:val="000000"/>
        </w:rPr>
        <w:t>.</w:t>
      </w:r>
    </w:p>
    <w:p w:rsidR="003F5458" w:rsidRDefault="003F5458" w:rsidP="00883E71">
      <w:pPr>
        <w:pBdr>
          <w:top w:val="nil"/>
          <w:left w:val="nil"/>
          <w:bottom w:val="nil"/>
          <w:right w:val="nil"/>
          <w:between w:val="nil"/>
        </w:pBdr>
        <w:spacing w:after="0" w:line="276" w:lineRule="auto"/>
        <w:ind w:firstLine="426"/>
        <w:jc w:val="both"/>
        <w:rPr>
          <w:rFonts w:ascii="Garamond" w:eastAsia="Garamond" w:hAnsi="Garamond" w:cs="Garamond"/>
          <w:color w:val="000000"/>
        </w:rPr>
      </w:pPr>
    </w:p>
    <w:p w:rsidR="00FB61C9" w:rsidRDefault="00FB6B1A" w:rsidP="0096175E">
      <w:pPr>
        <w:pBdr>
          <w:top w:val="nil"/>
          <w:left w:val="nil"/>
          <w:bottom w:val="nil"/>
          <w:right w:val="nil"/>
          <w:between w:val="nil"/>
        </w:pBdr>
        <w:spacing w:after="0" w:line="276" w:lineRule="auto"/>
        <w:ind w:firstLine="426"/>
        <w:jc w:val="both"/>
        <w:rPr>
          <w:rFonts w:ascii="Garamond" w:eastAsia="Garamond" w:hAnsi="Garamond" w:cs="Garamond"/>
          <w:color w:val="000000"/>
        </w:rPr>
      </w:pPr>
      <w:r w:rsidRPr="00FB6B1A">
        <w:rPr>
          <w:rFonts w:ascii="Garamond" w:eastAsia="Garamond" w:hAnsi="Garamond" w:cs="Garamond"/>
          <w:color w:val="000000"/>
        </w:rPr>
        <w:lastRenderedPageBreak/>
        <w:t xml:space="preserve"> The final result of the data processing is saved in KMZ format, which allows the data to be accessed and visualized using the Google Earth application. The final steps are Opening in Google Earth, the resulting KMZ file can be opened in Google Earth, enabling more interactive visualization and analysis and easier understanding of the Earth's surface changes in the observed area.</w:t>
      </w:r>
      <w:r w:rsidR="0096175E">
        <w:rPr>
          <w:rFonts w:ascii="Garamond" w:eastAsia="Garamond" w:hAnsi="Garamond" w:cs="Garamond"/>
          <w:color w:val="000000"/>
        </w:rPr>
        <w:t xml:space="preserve"> </w:t>
      </w:r>
      <w:r w:rsidRPr="00FB6B1A">
        <w:rPr>
          <w:rFonts w:ascii="Garamond" w:eastAsia="Garamond" w:hAnsi="Garamond" w:cs="Garamond"/>
          <w:color w:val="000000"/>
        </w:rPr>
        <w:t>Analysis, the processed KMZ files opened in Google Earth are used to perform further analysis and obtain important information about the land surface changes in the observed area. This analysis helps in understanding geological and environmental phenomena that are relevant and valuable for various scientific and practical applications</w:t>
      </w:r>
    </w:p>
    <w:p w:rsidR="00FB61C9" w:rsidRDefault="00291ED8">
      <w:pPr>
        <w:pStyle w:val="Heading1"/>
        <w:numPr>
          <w:ilvl w:val="0"/>
          <w:numId w:val="3"/>
        </w:numPr>
        <w:spacing w:before="240" w:after="120" w:line="276" w:lineRule="auto"/>
        <w:ind w:left="426" w:hanging="426"/>
        <w:jc w:val="left"/>
        <w:rPr>
          <w:rFonts w:ascii="Garamond" w:eastAsia="Garamond" w:hAnsi="Garamond" w:cs="Garamond"/>
          <w:sz w:val="28"/>
          <w:szCs w:val="28"/>
        </w:rPr>
      </w:pPr>
      <w:r>
        <w:rPr>
          <w:rFonts w:ascii="Garamond" w:eastAsia="Garamond" w:hAnsi="Garamond" w:cs="Garamond"/>
          <w:sz w:val="28"/>
          <w:szCs w:val="28"/>
        </w:rPr>
        <w:t>Results and Discussion</w:t>
      </w:r>
    </w:p>
    <w:p w:rsidR="001D21FD" w:rsidRDefault="002C47AE" w:rsidP="002C47AE">
      <w:pPr>
        <w:pStyle w:val="NormalWeb"/>
        <w:numPr>
          <w:ilvl w:val="0"/>
          <w:numId w:val="6"/>
        </w:numPr>
        <w:spacing w:before="0" w:beforeAutospacing="0" w:after="0" w:afterAutospacing="0"/>
        <w:jc w:val="both"/>
        <w:textAlignment w:val="baseline"/>
        <w:rPr>
          <w:rFonts w:ascii="Garamond" w:hAnsi="Garamond"/>
          <w:i/>
          <w:iCs/>
          <w:color w:val="000000"/>
        </w:rPr>
      </w:pPr>
      <w:r>
        <w:rPr>
          <w:rFonts w:ascii="Garamond" w:hAnsi="Garamond"/>
          <w:i/>
          <w:iCs/>
          <w:color w:val="000000"/>
          <w:lang w:val="en-US"/>
        </w:rPr>
        <w:t xml:space="preserve"> </w:t>
      </w:r>
      <w:r w:rsidR="00077178">
        <w:rPr>
          <w:rFonts w:ascii="Garamond" w:hAnsi="Garamond"/>
          <w:i/>
          <w:iCs/>
          <w:color w:val="000000"/>
          <w:lang w:val="en-US"/>
        </w:rPr>
        <w:t xml:space="preserve">Result </w:t>
      </w:r>
      <w:r w:rsidR="0035040E">
        <w:rPr>
          <w:rFonts w:ascii="Garamond" w:hAnsi="Garamond"/>
          <w:i/>
          <w:iCs/>
          <w:color w:val="000000"/>
          <w:lang w:val="en-US"/>
        </w:rPr>
        <w:t>f</w:t>
      </w:r>
      <w:r w:rsidR="00077178">
        <w:rPr>
          <w:rFonts w:ascii="Garamond" w:hAnsi="Garamond"/>
          <w:i/>
          <w:iCs/>
          <w:color w:val="000000"/>
          <w:lang w:val="en-US"/>
        </w:rPr>
        <w:t xml:space="preserve">rom Data Processing </w:t>
      </w:r>
    </w:p>
    <w:p w:rsidR="00077178" w:rsidRPr="00077178" w:rsidRDefault="00077178" w:rsidP="00077178">
      <w:pPr>
        <w:spacing w:after="0" w:line="276" w:lineRule="auto"/>
        <w:ind w:firstLine="432"/>
        <w:jc w:val="both"/>
        <w:rPr>
          <w:rFonts w:ascii="Garamond" w:eastAsia="Garamond" w:hAnsi="Garamond" w:cs="Garamond"/>
        </w:rPr>
      </w:pPr>
      <w:r w:rsidRPr="00077178">
        <w:rPr>
          <w:rFonts w:ascii="Garamond" w:eastAsia="Garamond" w:hAnsi="Garamond" w:cs="Garamond"/>
        </w:rPr>
        <w:t xml:space="preserve">S-1 TOPS Coregistration, master and slave intensity comparison of the data. The master and slave in this data are recorded from two different times on the same object on the earth's surface. The master in this data is a SAR image that was taken earlier than the slave image. Coregistration is the process of aligning images from different times so that accurate temporal and interferometric analysis can be performed. The result of coregration is an increase or decrease in the number of pixels in a digital image so that the image is better. </w:t>
      </w:r>
    </w:p>
    <w:p w:rsidR="00077178" w:rsidRDefault="00077178" w:rsidP="00077178">
      <w:pPr>
        <w:spacing w:after="0" w:line="276" w:lineRule="auto"/>
        <w:ind w:firstLine="432"/>
        <w:jc w:val="both"/>
        <w:rPr>
          <w:rFonts w:ascii="Garamond" w:eastAsia="Garamond" w:hAnsi="Garamond" w:cs="Garamond"/>
        </w:rPr>
      </w:pPr>
      <w:r w:rsidRPr="00077178">
        <w:rPr>
          <w:rFonts w:ascii="Garamond" w:eastAsia="Garamond" w:hAnsi="Garamond" w:cs="Garamond"/>
        </w:rPr>
        <w:t>Interferograms, using SRTM 1sec HGT and the addition of formation phase, topographic, and coherence obtained phase differences in data pairs (master and slave). Radar interferometry (interferogram) is a technique that uses two S-1 radar images taken at different times to detect changes in the Earth's surface. By comparing the phase of the radar waves between the two images, interferograms can provide information about ground movement, deformation and other geological activity. The results obtained are the phase difference before interferometry of flattened pixels see in Figure 2.</w:t>
      </w:r>
    </w:p>
    <w:p w:rsidR="009452E3" w:rsidRDefault="00077178" w:rsidP="00C32AB4">
      <w:pPr>
        <w:keepNext/>
        <w:spacing w:after="0" w:line="276" w:lineRule="auto"/>
        <w:jc w:val="center"/>
      </w:pPr>
      <w:r w:rsidRPr="00F64D8F">
        <w:rPr>
          <w:noProof/>
          <w:lang w:eastAsia="en-US"/>
        </w:rPr>
        <w:drawing>
          <wp:inline distT="114300" distB="114300" distL="114300" distR="114300" wp14:anchorId="0A1986B5" wp14:editId="0AEF1341">
            <wp:extent cx="3285665" cy="3451654"/>
            <wp:effectExtent l="0" t="0" r="3810" b="3175"/>
            <wp:docPr id="20" name="image19.png"/>
            <wp:cNvGraphicFramePr/>
            <a:graphic xmlns:a="http://schemas.openxmlformats.org/drawingml/2006/main">
              <a:graphicData uri="http://schemas.openxmlformats.org/drawingml/2006/picture">
                <pic:pic xmlns:pic="http://schemas.openxmlformats.org/drawingml/2006/picture">
                  <pic:nvPicPr>
                    <pic:cNvPr id="20" name="image19.png"/>
                    <pic:cNvPicPr preferRelativeResize="0"/>
                  </pic:nvPicPr>
                  <pic:blipFill rotWithShape="1">
                    <a:blip r:embed="rId18"/>
                    <a:srcRect l="29646" t="11795" r="2434" b="3908"/>
                    <a:stretch/>
                  </pic:blipFill>
                  <pic:spPr bwMode="auto">
                    <a:xfrm>
                      <a:off x="0" y="0"/>
                      <a:ext cx="3316033" cy="3483556"/>
                    </a:xfrm>
                    <a:prstGeom prst="rect">
                      <a:avLst/>
                    </a:prstGeom>
                    <a:ln>
                      <a:noFill/>
                    </a:ln>
                    <a:extLst>
                      <a:ext uri="{53640926-AAD7-44D8-BBD7-CCE9431645EC}">
                        <a14:shadowObscured xmlns:a14="http://schemas.microsoft.com/office/drawing/2010/main"/>
                      </a:ext>
                    </a:extLst>
                  </pic:spPr>
                </pic:pic>
              </a:graphicData>
            </a:graphic>
          </wp:inline>
        </w:drawing>
      </w:r>
    </w:p>
    <w:p w:rsidR="00077178" w:rsidRPr="009452E3" w:rsidRDefault="009452E3" w:rsidP="009452E3">
      <w:pPr>
        <w:pStyle w:val="Caption"/>
        <w:jc w:val="center"/>
        <w:rPr>
          <w:rFonts w:ascii="Garamond" w:eastAsia="Garamond" w:hAnsi="Garamond" w:cs="Garamond"/>
          <w:i w:val="0"/>
          <w:iCs w:val="0"/>
          <w:color w:val="auto"/>
          <w:sz w:val="24"/>
          <w:szCs w:val="24"/>
        </w:rPr>
      </w:pPr>
      <w:r w:rsidRPr="009452E3">
        <w:rPr>
          <w:rFonts w:ascii="Garamond" w:hAnsi="Garamond"/>
          <w:i w:val="0"/>
          <w:iCs w:val="0"/>
          <w:color w:val="auto"/>
          <w:sz w:val="24"/>
          <w:szCs w:val="24"/>
        </w:rPr>
        <w:t xml:space="preserve">Figure </w:t>
      </w:r>
      <w:r w:rsidR="00474001">
        <w:rPr>
          <w:rFonts w:ascii="Garamond" w:hAnsi="Garamond"/>
          <w:i w:val="0"/>
          <w:iCs w:val="0"/>
          <w:color w:val="auto"/>
          <w:sz w:val="24"/>
          <w:szCs w:val="24"/>
        </w:rPr>
        <w:t>2</w:t>
      </w:r>
      <w:r w:rsidRPr="009452E3">
        <w:rPr>
          <w:rFonts w:ascii="Garamond" w:hAnsi="Garamond"/>
          <w:i w:val="0"/>
          <w:iCs w:val="0"/>
          <w:color w:val="auto"/>
          <w:sz w:val="24"/>
          <w:szCs w:val="24"/>
        </w:rPr>
        <w:t>. Result of Interferogram Process</w:t>
      </w:r>
    </w:p>
    <w:p w:rsidR="00C32AB4" w:rsidRPr="00C32AB4" w:rsidRDefault="00C32AB4" w:rsidP="00C32AB4">
      <w:pPr>
        <w:pBdr>
          <w:top w:val="nil"/>
          <w:left w:val="nil"/>
          <w:bottom w:val="nil"/>
          <w:right w:val="nil"/>
          <w:between w:val="nil"/>
        </w:pBdr>
        <w:spacing w:after="0" w:line="276" w:lineRule="auto"/>
        <w:ind w:firstLine="426"/>
        <w:jc w:val="both"/>
        <w:rPr>
          <w:rFonts w:ascii="Garamond" w:eastAsia="Garamond" w:hAnsi="Garamond" w:cs="Garamond"/>
          <w:color w:val="000000"/>
        </w:rPr>
      </w:pPr>
      <w:r w:rsidRPr="00C32AB4">
        <w:rPr>
          <w:rFonts w:ascii="Garamond" w:eastAsia="Garamond" w:hAnsi="Garamond" w:cs="Garamond"/>
          <w:color w:val="000000"/>
        </w:rPr>
        <w:lastRenderedPageBreak/>
        <w:t xml:space="preserve">Based on Figure </w:t>
      </w:r>
      <w:r w:rsidR="00474001">
        <w:rPr>
          <w:rFonts w:ascii="Garamond" w:eastAsia="Garamond" w:hAnsi="Garamond" w:cs="Garamond"/>
          <w:color w:val="000000"/>
        </w:rPr>
        <w:t>2</w:t>
      </w:r>
      <w:r w:rsidRPr="00C32AB4">
        <w:rPr>
          <w:rFonts w:ascii="Garamond" w:eastAsia="Garamond" w:hAnsi="Garamond" w:cs="Garamond"/>
          <w:color w:val="000000"/>
        </w:rPr>
        <w:t xml:space="preserve">, </w:t>
      </w:r>
      <w:r w:rsidR="00784380" w:rsidRPr="00C32AB4">
        <w:rPr>
          <w:rFonts w:ascii="Garamond" w:eastAsia="Garamond" w:hAnsi="Garamond" w:cs="Garamond"/>
          <w:color w:val="000000"/>
        </w:rPr>
        <w:t>the</w:t>
      </w:r>
      <w:r w:rsidRPr="00C32AB4">
        <w:rPr>
          <w:rFonts w:ascii="Garamond" w:eastAsia="Garamond" w:hAnsi="Garamond" w:cs="Garamond"/>
          <w:color w:val="000000"/>
        </w:rPr>
        <w:t xml:space="preserve"> main output of the interferogram process is an interferogram image obtained by combining the phase information (waveform changes) of two SAR satellite images taken at different times. This interferogram image shows a color pattern that reflects the difference in relative distance between the ground </w:t>
      </w:r>
      <w:r w:rsidR="00784380" w:rsidRPr="00C32AB4">
        <w:rPr>
          <w:rFonts w:ascii="Garamond" w:eastAsia="Garamond" w:hAnsi="Garamond" w:cs="Garamond"/>
          <w:color w:val="000000"/>
        </w:rPr>
        <w:t>surfaces</w:t>
      </w:r>
      <w:r w:rsidRPr="00C32AB4">
        <w:rPr>
          <w:rFonts w:ascii="Garamond" w:eastAsia="Garamond" w:hAnsi="Garamond" w:cs="Garamond"/>
          <w:color w:val="000000"/>
        </w:rPr>
        <w:t xml:space="preserve"> at the two acquisition times. In the interferogram image, there is a pattern of broken lines known as "fringes" that represent surface deformation. Each color in the fringe indicates the change in relative distance that occurred. For example, red indicates upward movement (uplift), while blue indicates downward movement (subsidence).</w:t>
      </w:r>
    </w:p>
    <w:p w:rsidR="00C32AB4" w:rsidRDefault="00C32AB4" w:rsidP="00C32AB4">
      <w:pPr>
        <w:pBdr>
          <w:top w:val="nil"/>
          <w:left w:val="nil"/>
          <w:bottom w:val="nil"/>
          <w:right w:val="nil"/>
          <w:between w:val="nil"/>
        </w:pBdr>
        <w:spacing w:after="0" w:line="276" w:lineRule="auto"/>
        <w:ind w:firstLine="426"/>
        <w:jc w:val="both"/>
        <w:rPr>
          <w:rFonts w:ascii="Garamond" w:eastAsia="Garamond" w:hAnsi="Garamond" w:cs="Garamond"/>
          <w:color w:val="000000"/>
        </w:rPr>
      </w:pPr>
      <w:r w:rsidRPr="00C32AB4">
        <w:rPr>
          <w:rFonts w:ascii="Garamond" w:eastAsia="Garamond" w:hAnsi="Garamond" w:cs="Garamond"/>
          <w:color w:val="000000"/>
        </w:rPr>
        <w:t>Goldstein phase filtering reduces the influence of phase noise on SAR interferometric images and improves the accuracy of ground deformation measurements. These results can help produce more accurate ground deformation maps by reducing the influence of noise on the image. By using more accurate ground deformation maps, we can better monitor land surface changes and identify deformation patterns that may be related to geological activities or environmental changes (Figure 3).</w:t>
      </w:r>
    </w:p>
    <w:p w:rsidR="00BD7BB7" w:rsidRDefault="00BD7BB7" w:rsidP="00BD7BB7">
      <w:pPr>
        <w:keepNext/>
        <w:pBdr>
          <w:top w:val="nil"/>
          <w:left w:val="nil"/>
          <w:bottom w:val="nil"/>
          <w:right w:val="nil"/>
          <w:between w:val="nil"/>
        </w:pBdr>
        <w:spacing w:after="0" w:line="276" w:lineRule="auto"/>
        <w:jc w:val="center"/>
      </w:pPr>
      <w:r w:rsidRPr="00F64D8F">
        <w:rPr>
          <w:noProof/>
          <w:lang w:eastAsia="en-US"/>
        </w:rPr>
        <w:drawing>
          <wp:inline distT="114300" distB="114300" distL="114300" distR="114300" wp14:anchorId="1DFCAC3B" wp14:editId="5525357D">
            <wp:extent cx="4457700" cy="3600450"/>
            <wp:effectExtent l="0" t="0" r="0" b="0"/>
            <wp:docPr id="97" name="image16.png"/>
            <wp:cNvGraphicFramePr/>
            <a:graphic xmlns:a="http://schemas.openxmlformats.org/drawingml/2006/main">
              <a:graphicData uri="http://schemas.openxmlformats.org/drawingml/2006/picture">
                <pic:pic xmlns:pic="http://schemas.openxmlformats.org/drawingml/2006/picture">
                  <pic:nvPicPr>
                    <pic:cNvPr id="16" name="image16.png"/>
                    <pic:cNvPicPr preferRelativeResize="0"/>
                  </pic:nvPicPr>
                  <pic:blipFill rotWithShape="1">
                    <a:blip r:embed="rId19"/>
                    <a:srcRect l="29519" t="11752" r="1753" b="2276"/>
                    <a:stretch/>
                  </pic:blipFill>
                  <pic:spPr bwMode="auto">
                    <a:xfrm>
                      <a:off x="0" y="0"/>
                      <a:ext cx="4471291" cy="3611427"/>
                    </a:xfrm>
                    <a:prstGeom prst="rect">
                      <a:avLst/>
                    </a:prstGeom>
                    <a:ln>
                      <a:noFill/>
                    </a:ln>
                    <a:extLst>
                      <a:ext uri="{53640926-AAD7-44D8-BBD7-CCE9431645EC}">
                        <a14:shadowObscured xmlns:a14="http://schemas.microsoft.com/office/drawing/2010/main"/>
                      </a:ext>
                    </a:extLst>
                  </pic:spPr>
                </pic:pic>
              </a:graphicData>
            </a:graphic>
          </wp:inline>
        </w:drawing>
      </w:r>
    </w:p>
    <w:p w:rsidR="00BD7BB7" w:rsidRPr="00BD7BB7" w:rsidRDefault="00BD7BB7" w:rsidP="00BD7BB7">
      <w:pPr>
        <w:pStyle w:val="Caption"/>
        <w:jc w:val="center"/>
        <w:rPr>
          <w:rFonts w:ascii="Garamond" w:eastAsia="Garamond" w:hAnsi="Garamond" w:cs="Garamond"/>
          <w:i w:val="0"/>
          <w:iCs w:val="0"/>
          <w:color w:val="auto"/>
          <w:sz w:val="24"/>
          <w:szCs w:val="24"/>
        </w:rPr>
      </w:pPr>
      <w:r w:rsidRPr="00BD7BB7">
        <w:rPr>
          <w:rFonts w:ascii="Garamond" w:hAnsi="Garamond"/>
          <w:i w:val="0"/>
          <w:iCs w:val="0"/>
          <w:color w:val="auto"/>
          <w:sz w:val="24"/>
          <w:szCs w:val="24"/>
        </w:rPr>
        <w:t>Figure</w:t>
      </w:r>
      <w:r w:rsidR="00474001">
        <w:rPr>
          <w:rFonts w:ascii="Garamond" w:hAnsi="Garamond"/>
          <w:i w:val="0"/>
          <w:iCs w:val="0"/>
          <w:color w:val="auto"/>
          <w:sz w:val="24"/>
          <w:szCs w:val="24"/>
        </w:rPr>
        <w:t xml:space="preserve"> 3</w:t>
      </w:r>
      <w:r w:rsidRPr="00BD7BB7">
        <w:rPr>
          <w:rFonts w:ascii="Garamond" w:hAnsi="Garamond"/>
          <w:i w:val="0"/>
          <w:iCs w:val="0"/>
          <w:color w:val="auto"/>
          <w:sz w:val="24"/>
          <w:szCs w:val="24"/>
        </w:rPr>
        <w:t>. Result of Process Goldstein Phase Filtering</w:t>
      </w:r>
    </w:p>
    <w:p w:rsidR="00226137" w:rsidRPr="00226137" w:rsidRDefault="003E39A0" w:rsidP="00226137">
      <w:pPr>
        <w:spacing w:after="0" w:line="276" w:lineRule="auto"/>
        <w:ind w:firstLine="426"/>
        <w:jc w:val="both"/>
        <w:rPr>
          <w:rFonts w:ascii="Garamond" w:eastAsia="Garamond" w:hAnsi="Garamond" w:cs="Garamond"/>
        </w:rPr>
      </w:pPr>
      <w:r>
        <w:rPr>
          <w:rFonts w:ascii="Garamond" w:eastAsia="Garamond" w:hAnsi="Garamond" w:cs="Garamond"/>
        </w:rPr>
        <w:t xml:space="preserve">After that, </w:t>
      </w:r>
      <w:r w:rsidR="000A5877">
        <w:rPr>
          <w:rFonts w:ascii="Garamond" w:eastAsia="Garamond" w:hAnsi="Garamond" w:cs="Garamond"/>
        </w:rPr>
        <w:t>Unwrapping</w:t>
      </w:r>
      <w:r w:rsidR="00032E59">
        <w:rPr>
          <w:rFonts w:ascii="Garamond" w:eastAsia="Garamond" w:hAnsi="Garamond" w:cs="Garamond"/>
        </w:rPr>
        <w:t xml:space="preserve"> with input the last data </w:t>
      </w:r>
      <w:r w:rsidR="00A0323C" w:rsidRPr="00A0323C">
        <w:rPr>
          <w:rFonts w:ascii="Garamond" w:eastAsia="Garamond" w:hAnsi="Garamond" w:cs="Garamond"/>
        </w:rPr>
        <w:t>Snaphu Unwrapping produces continuous phase maps, which can be interpreted as changes in ground level. These maps are often referred to as "interferometric maps" or "interference maps". Using this map, it is possible to identify and quantitatively measure subsidence or ground deformation</w:t>
      </w:r>
      <w:r w:rsidR="00A0323C">
        <w:rPr>
          <w:rFonts w:ascii="Garamond" w:eastAsia="Garamond" w:hAnsi="Garamond" w:cs="Garamond"/>
        </w:rPr>
        <w:t xml:space="preserve"> (</w:t>
      </w:r>
      <w:r w:rsidR="008948CC">
        <w:rPr>
          <w:rFonts w:ascii="Garamond" w:eastAsia="Garamond" w:hAnsi="Garamond" w:cs="Garamond"/>
        </w:rPr>
        <w:t>F</w:t>
      </w:r>
      <w:r w:rsidR="00226137">
        <w:rPr>
          <w:rFonts w:ascii="Garamond" w:eastAsia="Garamond" w:hAnsi="Garamond" w:cs="Garamond"/>
        </w:rPr>
        <w:t>i</w:t>
      </w:r>
      <w:r w:rsidR="00A0323C">
        <w:rPr>
          <w:rFonts w:ascii="Garamond" w:eastAsia="Garamond" w:hAnsi="Garamond" w:cs="Garamond"/>
        </w:rPr>
        <w:t xml:space="preserve">gure 4). </w:t>
      </w:r>
    </w:p>
    <w:p w:rsidR="00226137" w:rsidRDefault="00226137" w:rsidP="00226137">
      <w:pPr>
        <w:keepNext/>
        <w:spacing w:after="0" w:line="276" w:lineRule="auto"/>
        <w:jc w:val="center"/>
      </w:pPr>
      <w:r w:rsidRPr="00F64D8F">
        <w:rPr>
          <w:noProof/>
          <w:lang w:eastAsia="en-US"/>
        </w:rPr>
        <w:lastRenderedPageBreak/>
        <w:drawing>
          <wp:inline distT="114300" distB="114300" distL="114300" distR="114300" wp14:anchorId="5001642B" wp14:editId="0A401D39">
            <wp:extent cx="4714875" cy="3790950"/>
            <wp:effectExtent l="0" t="0" r="9525" b="0"/>
            <wp:docPr id="18" name="image18.png"/>
            <wp:cNvGraphicFramePr/>
            <a:graphic xmlns:a="http://schemas.openxmlformats.org/drawingml/2006/main">
              <a:graphicData uri="http://schemas.openxmlformats.org/drawingml/2006/picture">
                <pic:pic xmlns:pic="http://schemas.openxmlformats.org/drawingml/2006/picture">
                  <pic:nvPicPr>
                    <pic:cNvPr id="18" name="image18.png"/>
                    <pic:cNvPicPr preferRelativeResize="0"/>
                  </pic:nvPicPr>
                  <pic:blipFill rotWithShape="1">
                    <a:blip r:embed="rId20"/>
                    <a:srcRect l="29598" t="10970" r="2114" b="3637"/>
                    <a:stretch/>
                  </pic:blipFill>
                  <pic:spPr bwMode="auto">
                    <a:xfrm>
                      <a:off x="0" y="0"/>
                      <a:ext cx="4723089" cy="3797554"/>
                    </a:xfrm>
                    <a:prstGeom prst="rect">
                      <a:avLst/>
                    </a:prstGeom>
                    <a:ln>
                      <a:noFill/>
                    </a:ln>
                    <a:extLst>
                      <a:ext uri="{53640926-AAD7-44D8-BBD7-CCE9431645EC}">
                        <a14:shadowObscured xmlns:a14="http://schemas.microsoft.com/office/drawing/2010/main"/>
                      </a:ext>
                    </a:extLst>
                  </pic:spPr>
                </pic:pic>
              </a:graphicData>
            </a:graphic>
          </wp:inline>
        </w:drawing>
      </w:r>
    </w:p>
    <w:p w:rsidR="00226137" w:rsidRPr="009D6404" w:rsidRDefault="00226137" w:rsidP="00226137">
      <w:pPr>
        <w:pStyle w:val="Caption"/>
        <w:jc w:val="center"/>
        <w:rPr>
          <w:rFonts w:ascii="Garamond" w:eastAsia="Garamond" w:hAnsi="Garamond" w:cs="Garamond"/>
          <w:i w:val="0"/>
          <w:iCs w:val="0"/>
          <w:color w:val="auto"/>
          <w:sz w:val="24"/>
          <w:szCs w:val="24"/>
        </w:rPr>
      </w:pPr>
      <w:r w:rsidRPr="009D6404">
        <w:rPr>
          <w:rFonts w:ascii="Garamond" w:hAnsi="Garamond"/>
          <w:i w:val="0"/>
          <w:iCs w:val="0"/>
          <w:color w:val="auto"/>
          <w:sz w:val="24"/>
          <w:szCs w:val="24"/>
        </w:rPr>
        <w:t>Figure</w:t>
      </w:r>
      <w:r w:rsidR="00474001">
        <w:rPr>
          <w:rFonts w:ascii="Garamond" w:hAnsi="Garamond"/>
          <w:i w:val="0"/>
          <w:iCs w:val="0"/>
          <w:color w:val="auto"/>
          <w:sz w:val="24"/>
          <w:szCs w:val="24"/>
        </w:rPr>
        <w:t xml:space="preserve"> 4</w:t>
      </w:r>
      <w:r w:rsidRPr="009D6404">
        <w:rPr>
          <w:rFonts w:ascii="Garamond" w:hAnsi="Garamond"/>
          <w:i w:val="0"/>
          <w:iCs w:val="0"/>
          <w:color w:val="auto"/>
          <w:sz w:val="24"/>
          <w:szCs w:val="24"/>
        </w:rPr>
        <w:t xml:space="preserve">. Phase Data Processing Results </w:t>
      </w:r>
      <w:r w:rsidR="00784380" w:rsidRPr="009D6404">
        <w:rPr>
          <w:rFonts w:ascii="Garamond" w:hAnsi="Garamond"/>
          <w:i w:val="0"/>
          <w:iCs w:val="0"/>
          <w:color w:val="auto"/>
          <w:sz w:val="24"/>
          <w:szCs w:val="24"/>
        </w:rPr>
        <w:t>before</w:t>
      </w:r>
      <w:r w:rsidRPr="009D6404">
        <w:rPr>
          <w:rFonts w:ascii="Garamond" w:hAnsi="Garamond"/>
          <w:i w:val="0"/>
          <w:iCs w:val="0"/>
          <w:color w:val="auto"/>
          <w:sz w:val="24"/>
          <w:szCs w:val="24"/>
        </w:rPr>
        <w:t xml:space="preserve"> </w:t>
      </w:r>
      <w:r w:rsidR="009D6404" w:rsidRPr="009D6404">
        <w:rPr>
          <w:rFonts w:ascii="Garamond" w:hAnsi="Garamond"/>
          <w:i w:val="0"/>
          <w:iCs w:val="0"/>
          <w:color w:val="auto"/>
          <w:sz w:val="24"/>
          <w:szCs w:val="24"/>
        </w:rPr>
        <w:t>U</w:t>
      </w:r>
      <w:r w:rsidRPr="009D6404">
        <w:rPr>
          <w:rFonts w:ascii="Garamond" w:hAnsi="Garamond"/>
          <w:i w:val="0"/>
          <w:iCs w:val="0"/>
          <w:color w:val="auto"/>
          <w:sz w:val="24"/>
          <w:szCs w:val="24"/>
        </w:rPr>
        <w:t xml:space="preserve">nwrapping and </w:t>
      </w:r>
      <w:r w:rsidR="009D6404" w:rsidRPr="009D6404">
        <w:rPr>
          <w:rFonts w:ascii="Garamond" w:hAnsi="Garamond"/>
          <w:i w:val="0"/>
          <w:iCs w:val="0"/>
          <w:color w:val="auto"/>
          <w:sz w:val="24"/>
          <w:szCs w:val="24"/>
        </w:rPr>
        <w:t>A</w:t>
      </w:r>
      <w:r w:rsidRPr="009D6404">
        <w:rPr>
          <w:rFonts w:ascii="Garamond" w:hAnsi="Garamond"/>
          <w:i w:val="0"/>
          <w:iCs w:val="0"/>
          <w:color w:val="auto"/>
          <w:sz w:val="24"/>
          <w:szCs w:val="24"/>
        </w:rPr>
        <w:t>fter</w:t>
      </w:r>
      <w:r w:rsidR="009D6404" w:rsidRPr="009D6404">
        <w:rPr>
          <w:rFonts w:ascii="Garamond" w:hAnsi="Garamond"/>
          <w:i w:val="0"/>
          <w:iCs w:val="0"/>
          <w:color w:val="auto"/>
          <w:sz w:val="24"/>
          <w:szCs w:val="24"/>
        </w:rPr>
        <w:t xml:space="preserve"> U</w:t>
      </w:r>
      <w:r w:rsidRPr="009D6404">
        <w:rPr>
          <w:rFonts w:ascii="Garamond" w:hAnsi="Garamond"/>
          <w:i w:val="0"/>
          <w:iCs w:val="0"/>
          <w:color w:val="auto"/>
          <w:sz w:val="24"/>
          <w:szCs w:val="24"/>
        </w:rPr>
        <w:t>nwrapping</w:t>
      </w:r>
    </w:p>
    <w:p w:rsidR="0031043C" w:rsidRPr="0031043C" w:rsidRDefault="0031043C" w:rsidP="0031043C">
      <w:pPr>
        <w:spacing w:after="0" w:line="276" w:lineRule="auto"/>
        <w:ind w:firstLine="426"/>
        <w:jc w:val="both"/>
        <w:rPr>
          <w:rFonts w:ascii="Garamond" w:eastAsia="Garamond" w:hAnsi="Garamond" w:cs="Garamond"/>
        </w:rPr>
      </w:pPr>
      <w:r>
        <w:rPr>
          <w:rFonts w:ascii="Garamond" w:eastAsia="Garamond" w:hAnsi="Garamond" w:cs="Garamond"/>
          <w:lang w:val="en-ID"/>
        </w:rPr>
        <w:t xml:space="preserve">Next step is </w:t>
      </w:r>
      <w:r w:rsidR="003E39A0" w:rsidRPr="00BD7BB7">
        <w:rPr>
          <w:rFonts w:ascii="Garamond" w:eastAsia="Garamond" w:hAnsi="Garamond" w:cs="Garamond"/>
        </w:rPr>
        <w:t>Phase to Displacement, a result obtained to view land subsidence that shows the pattern of subsidence or land uplift in the observed area. This map can help identify areas that experience subsidence or land surface rise, as well as map the pattern of deformation that occurs. In addition, the Place to Displacement stage can also provide information on the speed and direction of ground movement in the observed area, which can help estimate the risk of damage to buildings and infrastructure in the area</w:t>
      </w:r>
      <w:r w:rsidR="00331EA3">
        <w:rPr>
          <w:rFonts w:ascii="Garamond" w:eastAsia="Garamond" w:hAnsi="Garamond" w:cs="Garamond"/>
        </w:rPr>
        <w:t>. The final step is Open in Google Earth with file format as KMZ (Figure 5)</w:t>
      </w:r>
      <w:r w:rsidR="008948CC">
        <w:rPr>
          <w:rFonts w:ascii="Garamond" w:eastAsia="Garamond" w:hAnsi="Garamond" w:cs="Garamond"/>
        </w:rPr>
        <w:t>.</w:t>
      </w:r>
    </w:p>
    <w:p w:rsidR="005913F9" w:rsidRDefault="005913F9" w:rsidP="005913F9">
      <w:pPr>
        <w:keepNext/>
        <w:spacing w:after="0" w:line="276" w:lineRule="auto"/>
        <w:jc w:val="center"/>
      </w:pPr>
      <w:r>
        <w:rPr>
          <w:noProof/>
          <w:lang w:eastAsia="en-US"/>
        </w:rPr>
        <w:lastRenderedPageBreak/>
        <w:drawing>
          <wp:inline distT="114300" distB="114300" distL="114300" distR="114300" wp14:anchorId="2FA1217C" wp14:editId="2AEA96F0">
            <wp:extent cx="5248275" cy="3876675"/>
            <wp:effectExtent l="0" t="0" r="9525" b="9525"/>
            <wp:docPr id="19" name="image17.png"/>
            <wp:cNvGraphicFramePr/>
            <a:graphic xmlns:a="http://schemas.openxmlformats.org/drawingml/2006/main">
              <a:graphicData uri="http://schemas.openxmlformats.org/drawingml/2006/picture">
                <pic:pic xmlns:pic="http://schemas.openxmlformats.org/drawingml/2006/picture">
                  <pic:nvPicPr>
                    <pic:cNvPr id="19" name="image17.png"/>
                    <pic:cNvPicPr preferRelativeResize="0"/>
                  </pic:nvPicPr>
                  <pic:blipFill rotWithShape="1">
                    <a:blip r:embed="rId21">
                      <a:extLst>
                        <a:ext uri="{BEBA8EAE-BF5A-486C-A8C5-ECC9F3942E4B}">
                          <a14:imgProps xmlns:a14="http://schemas.microsoft.com/office/drawing/2010/main">
                            <a14:imgLayer r:embed="rId22">
                              <a14:imgEffect>
                                <a14:sharpenSoften amount="50000"/>
                              </a14:imgEffect>
                            </a14:imgLayer>
                          </a14:imgProps>
                        </a:ext>
                      </a:extLst>
                    </a:blip>
                    <a:srcRect l="17342" t="10912"/>
                    <a:stretch/>
                  </pic:blipFill>
                  <pic:spPr bwMode="auto">
                    <a:xfrm>
                      <a:off x="0" y="0"/>
                      <a:ext cx="5249242" cy="3877389"/>
                    </a:xfrm>
                    <a:prstGeom prst="rect">
                      <a:avLst/>
                    </a:prstGeom>
                    <a:ln>
                      <a:noFill/>
                    </a:ln>
                    <a:extLst>
                      <a:ext uri="{53640926-AAD7-44D8-BBD7-CCE9431645EC}">
                        <a14:shadowObscured xmlns:a14="http://schemas.microsoft.com/office/drawing/2010/main"/>
                      </a:ext>
                    </a:extLst>
                  </pic:spPr>
                </pic:pic>
              </a:graphicData>
            </a:graphic>
          </wp:inline>
        </w:drawing>
      </w:r>
    </w:p>
    <w:p w:rsidR="00FB61C9" w:rsidRPr="006F3424" w:rsidRDefault="005913F9" w:rsidP="006F3424">
      <w:pPr>
        <w:pStyle w:val="Caption"/>
        <w:jc w:val="center"/>
        <w:rPr>
          <w:rFonts w:ascii="Garamond" w:eastAsia="Garamond" w:hAnsi="Garamond" w:cs="Garamond"/>
          <w:i w:val="0"/>
          <w:iCs w:val="0"/>
          <w:color w:val="auto"/>
          <w:sz w:val="24"/>
          <w:szCs w:val="24"/>
          <w:lang w:val="id-ID"/>
        </w:rPr>
      </w:pPr>
      <w:r w:rsidRPr="005913F9">
        <w:rPr>
          <w:rFonts w:ascii="Garamond" w:hAnsi="Garamond"/>
          <w:i w:val="0"/>
          <w:iCs w:val="0"/>
          <w:color w:val="auto"/>
          <w:sz w:val="24"/>
          <w:szCs w:val="24"/>
        </w:rPr>
        <w:t>Figure</w:t>
      </w:r>
      <w:r w:rsidR="00474001">
        <w:rPr>
          <w:rFonts w:ascii="Garamond" w:hAnsi="Garamond"/>
          <w:i w:val="0"/>
          <w:iCs w:val="0"/>
          <w:color w:val="auto"/>
          <w:sz w:val="24"/>
          <w:szCs w:val="24"/>
        </w:rPr>
        <w:t xml:space="preserve"> 5</w:t>
      </w:r>
      <w:r w:rsidRPr="005913F9">
        <w:rPr>
          <w:rFonts w:ascii="Garamond" w:hAnsi="Garamond"/>
          <w:i w:val="0"/>
          <w:iCs w:val="0"/>
          <w:color w:val="auto"/>
          <w:sz w:val="24"/>
          <w:szCs w:val="24"/>
        </w:rPr>
        <w:t xml:space="preserve">. Result Data </w:t>
      </w:r>
      <w:r w:rsidR="00784380" w:rsidRPr="005913F9">
        <w:rPr>
          <w:rFonts w:ascii="Garamond" w:hAnsi="Garamond"/>
          <w:i w:val="0"/>
          <w:iCs w:val="0"/>
          <w:color w:val="auto"/>
          <w:sz w:val="24"/>
          <w:szCs w:val="24"/>
        </w:rPr>
        <w:t>after</w:t>
      </w:r>
      <w:r w:rsidRPr="005913F9">
        <w:rPr>
          <w:rFonts w:ascii="Garamond" w:hAnsi="Garamond"/>
          <w:i w:val="0"/>
          <w:iCs w:val="0"/>
          <w:color w:val="auto"/>
          <w:sz w:val="24"/>
          <w:szCs w:val="24"/>
        </w:rPr>
        <w:t xml:space="preserve"> Open in Google Earth</w:t>
      </w:r>
    </w:p>
    <w:p w:rsidR="00987E2B" w:rsidRPr="006F3424" w:rsidRDefault="005913F9" w:rsidP="006F3424">
      <w:pPr>
        <w:spacing w:after="0" w:line="276" w:lineRule="auto"/>
        <w:ind w:firstLine="426"/>
        <w:jc w:val="both"/>
        <w:rPr>
          <w:rFonts w:ascii="Garamond" w:eastAsia="Garamond" w:hAnsi="Garamond" w:cs="Garamond"/>
          <w:lang w:val="id-ID"/>
        </w:rPr>
      </w:pPr>
      <w:r w:rsidRPr="005913F9">
        <w:rPr>
          <w:rFonts w:ascii="Garamond" w:eastAsia="Garamond" w:hAnsi="Garamond" w:cs="Garamond"/>
          <w:lang w:val="id-ID"/>
        </w:rPr>
        <w:t>The results of land subsidence data processing based on Figure 3 in the DKI Jakarta area show significant variations in land subsidence rates, ranging from -0.007 meters to -0.023 meters or in centimeters -0.7 cm/year to -2.3 cm/year. In the processed images, areas with subsidence rates around -0.7 cm/year are usually shown in orange, indicating moderate subsidence. However, areas with more extensive subsidence rates, reaching -2.3 cm/year, are shown with darker colors such as black, indicating more significant subsidence and requiring more attention in risk management and mitigation. This information is important for stakeholders in the DKI Jakarta region to take appropriate action in addressing the impacts of land subsidence on infrastructure and the environment.</w:t>
      </w:r>
    </w:p>
    <w:p w:rsidR="00987E2B" w:rsidRDefault="00987E2B">
      <w:pPr>
        <w:spacing w:after="0" w:line="240" w:lineRule="auto"/>
        <w:ind w:firstLine="426"/>
        <w:jc w:val="both"/>
        <w:rPr>
          <w:rFonts w:ascii="Garamond" w:eastAsia="Garamond" w:hAnsi="Garamond" w:cs="Garamond"/>
          <w:sz w:val="22"/>
        </w:rPr>
      </w:pPr>
    </w:p>
    <w:p w:rsidR="00FB61C9" w:rsidRPr="00987E2B" w:rsidRDefault="00987E2B" w:rsidP="00987E2B">
      <w:pPr>
        <w:pStyle w:val="NormalWeb"/>
        <w:numPr>
          <w:ilvl w:val="0"/>
          <w:numId w:val="6"/>
        </w:numPr>
        <w:spacing w:before="0" w:beforeAutospacing="0" w:after="0" w:afterAutospacing="0"/>
        <w:jc w:val="both"/>
        <w:textAlignment w:val="baseline"/>
        <w:rPr>
          <w:rFonts w:ascii="Garamond" w:eastAsia="Garamond" w:hAnsi="Garamond" w:cs="Garamond"/>
          <w:i/>
          <w:iCs/>
          <w:color w:val="000000"/>
        </w:rPr>
      </w:pPr>
      <w:r>
        <w:rPr>
          <w:rFonts w:ascii="Garamond" w:eastAsia="Garamond" w:hAnsi="Garamond" w:cs="Garamond"/>
          <w:i/>
          <w:iCs/>
          <w:color w:val="000000"/>
          <w:lang w:val="en-US"/>
        </w:rPr>
        <w:t xml:space="preserve"> </w:t>
      </w:r>
      <w:r w:rsidR="005913F9" w:rsidRPr="00987E2B">
        <w:rPr>
          <w:rFonts w:ascii="Garamond" w:eastAsia="Garamond" w:hAnsi="Garamond" w:cs="Garamond"/>
          <w:i/>
          <w:iCs/>
          <w:color w:val="000000"/>
        </w:rPr>
        <w:t>Dis</w:t>
      </w:r>
      <w:r w:rsidRPr="00987E2B">
        <w:rPr>
          <w:rFonts w:ascii="Garamond" w:eastAsia="Garamond" w:hAnsi="Garamond" w:cs="Garamond"/>
          <w:i/>
          <w:iCs/>
          <w:color w:val="000000"/>
        </w:rPr>
        <w:t>cussion</w:t>
      </w:r>
    </w:p>
    <w:p w:rsidR="00987E2B" w:rsidRPr="00987E2B" w:rsidRDefault="00987E2B" w:rsidP="00A76D16">
      <w:pPr>
        <w:pBdr>
          <w:top w:val="nil"/>
          <w:left w:val="nil"/>
          <w:bottom w:val="nil"/>
          <w:right w:val="nil"/>
          <w:between w:val="nil"/>
        </w:pBdr>
        <w:spacing w:after="0" w:line="276" w:lineRule="auto"/>
        <w:ind w:firstLine="426"/>
        <w:jc w:val="both"/>
        <w:rPr>
          <w:rFonts w:ascii="Garamond" w:eastAsia="Garamond" w:hAnsi="Garamond" w:cs="Garamond"/>
          <w:color w:val="000000"/>
        </w:rPr>
      </w:pPr>
      <w:r w:rsidRPr="00987E2B">
        <w:rPr>
          <w:rFonts w:ascii="Garamond" w:eastAsia="Garamond" w:hAnsi="Garamond" w:cs="Garamond"/>
          <w:color w:val="000000"/>
        </w:rPr>
        <w:t>A study conducted by I Putu Pudja in 2018 presents data on land subsidence in DKI Jakarta in two different years, namely 2016 and 2017. In 2016, the data showed a decline in the area of -12.55 cm/year, while in 2017 the decline reached -1.8 cm/year. These results illustrate a significant rate of decline within one year.</w:t>
      </w:r>
    </w:p>
    <w:p w:rsidR="005C632E" w:rsidRDefault="00987E2B" w:rsidP="005C632E">
      <w:pPr>
        <w:pBdr>
          <w:top w:val="nil"/>
          <w:left w:val="nil"/>
          <w:bottom w:val="nil"/>
          <w:right w:val="nil"/>
          <w:between w:val="nil"/>
        </w:pBdr>
        <w:spacing w:after="0" w:line="276" w:lineRule="auto"/>
        <w:ind w:firstLine="426"/>
        <w:jc w:val="both"/>
        <w:rPr>
          <w:rFonts w:ascii="Garamond" w:eastAsia="Garamond" w:hAnsi="Garamond" w:cs="Garamond"/>
          <w:color w:val="000000"/>
        </w:rPr>
      </w:pPr>
      <w:r w:rsidRPr="00987E2B">
        <w:rPr>
          <w:rFonts w:ascii="Garamond" w:eastAsia="Garamond" w:hAnsi="Garamond" w:cs="Garamond"/>
          <w:color w:val="000000"/>
        </w:rPr>
        <w:t>Furthermore, to update the latest information on the decline of DKI Jakarta, the latest data processing has been carried out in 2021. The results of this latest data processing show a wider variation in the level of subsidence, which ranges from -0.7 cm/year to -2.3 cm/year. This indicates that the problem of subsidence in this region is still an important issue that needs to be monitored regularly to understand the ongoing changes in land surface conditions.</w:t>
      </w:r>
    </w:p>
    <w:p w:rsidR="00987E2B" w:rsidRDefault="00987E2B" w:rsidP="005C632E">
      <w:pPr>
        <w:pBdr>
          <w:top w:val="nil"/>
          <w:left w:val="nil"/>
          <w:bottom w:val="nil"/>
          <w:right w:val="nil"/>
          <w:between w:val="nil"/>
        </w:pBdr>
        <w:spacing w:after="0" w:line="276" w:lineRule="auto"/>
        <w:ind w:firstLine="426"/>
        <w:jc w:val="both"/>
        <w:rPr>
          <w:rFonts w:ascii="Garamond" w:eastAsia="Garamond" w:hAnsi="Garamond" w:cs="Garamond"/>
          <w:color w:val="000000"/>
        </w:rPr>
      </w:pPr>
      <w:r w:rsidRPr="00987E2B">
        <w:rPr>
          <w:rFonts w:ascii="Garamond" w:eastAsia="Garamond" w:hAnsi="Garamond" w:cs="Garamond"/>
          <w:color w:val="000000"/>
        </w:rPr>
        <w:t xml:space="preserve">The following table shows a comparison of DKI Jakarta subsidence data in 2016, 2017, and the latest data processing results in 2021 based on the sources mentioned </w:t>
      </w:r>
      <w:r w:rsidR="005608AB">
        <w:rPr>
          <w:rFonts w:ascii="Garamond" w:eastAsia="Garamond" w:hAnsi="Garamond" w:cs="Garamond"/>
          <w:color w:val="000000"/>
        </w:rPr>
        <w:t>on Table 1</w:t>
      </w:r>
      <w:r w:rsidRPr="00987E2B">
        <w:rPr>
          <w:rFonts w:ascii="Garamond" w:eastAsia="Garamond" w:hAnsi="Garamond" w:cs="Garamond"/>
          <w:color w:val="000000"/>
        </w:rPr>
        <w:t>.</w:t>
      </w:r>
    </w:p>
    <w:p w:rsidR="005F36B6" w:rsidRPr="00A76D16" w:rsidRDefault="005F36B6" w:rsidP="00A76D16">
      <w:pPr>
        <w:pStyle w:val="Caption"/>
        <w:keepNext/>
        <w:jc w:val="center"/>
        <w:rPr>
          <w:rFonts w:ascii="Garamond" w:hAnsi="Garamond"/>
          <w:i w:val="0"/>
          <w:iCs w:val="0"/>
          <w:color w:val="auto"/>
          <w:sz w:val="24"/>
          <w:szCs w:val="24"/>
        </w:rPr>
      </w:pPr>
      <w:r w:rsidRPr="00A76D16">
        <w:rPr>
          <w:rFonts w:ascii="Garamond" w:hAnsi="Garamond"/>
          <w:i w:val="0"/>
          <w:iCs w:val="0"/>
          <w:color w:val="auto"/>
          <w:sz w:val="24"/>
          <w:szCs w:val="24"/>
        </w:rPr>
        <w:lastRenderedPageBreak/>
        <w:t>Table</w:t>
      </w:r>
      <w:r w:rsidR="00474001">
        <w:rPr>
          <w:rFonts w:ascii="Garamond" w:hAnsi="Garamond"/>
          <w:i w:val="0"/>
          <w:iCs w:val="0"/>
          <w:color w:val="auto"/>
          <w:sz w:val="24"/>
          <w:szCs w:val="24"/>
        </w:rPr>
        <w:t xml:space="preserve"> 1</w:t>
      </w:r>
      <w:r w:rsidRPr="00A76D16">
        <w:rPr>
          <w:rFonts w:ascii="Garamond" w:hAnsi="Garamond"/>
          <w:i w:val="0"/>
          <w:iCs w:val="0"/>
          <w:color w:val="auto"/>
          <w:sz w:val="24"/>
          <w:szCs w:val="24"/>
        </w:rPr>
        <w:t>. Comparison of Land Subsidence</w:t>
      </w:r>
    </w:p>
    <w:tbl>
      <w:tblPr>
        <w:tblStyle w:val="TableGrid"/>
        <w:tblW w:w="0" w:type="auto"/>
        <w:jc w:val="center"/>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538"/>
        <w:gridCol w:w="2354"/>
        <w:gridCol w:w="1962"/>
        <w:gridCol w:w="2716"/>
      </w:tblGrid>
      <w:tr w:rsidR="005608AB" w:rsidRPr="006F3424" w:rsidTr="00F97FBE">
        <w:trPr>
          <w:trHeight w:val="326"/>
          <w:jc w:val="center"/>
        </w:trPr>
        <w:tc>
          <w:tcPr>
            <w:tcW w:w="1538" w:type="dxa"/>
          </w:tcPr>
          <w:p w:rsidR="005608AB" w:rsidRPr="006F3424" w:rsidRDefault="005608AB" w:rsidP="00F97FBE">
            <w:pPr>
              <w:jc w:val="center"/>
              <w:rPr>
                <w:rFonts w:ascii="Garamond" w:hAnsi="Garamond"/>
                <w:b/>
                <w:bCs/>
                <w:szCs w:val="24"/>
              </w:rPr>
            </w:pPr>
            <w:r w:rsidRPr="006F3424">
              <w:rPr>
                <w:rFonts w:ascii="Garamond" w:hAnsi="Garamond"/>
                <w:b/>
                <w:bCs/>
                <w:szCs w:val="24"/>
              </w:rPr>
              <w:t>Region</w:t>
            </w:r>
          </w:p>
        </w:tc>
        <w:tc>
          <w:tcPr>
            <w:tcW w:w="7032" w:type="dxa"/>
            <w:gridSpan w:val="3"/>
          </w:tcPr>
          <w:p w:rsidR="005608AB" w:rsidRPr="006F3424" w:rsidRDefault="005608AB" w:rsidP="00F97FBE">
            <w:pPr>
              <w:spacing w:line="240" w:lineRule="auto"/>
              <w:jc w:val="center"/>
              <w:rPr>
                <w:rFonts w:ascii="Garamond" w:hAnsi="Garamond"/>
                <w:b/>
                <w:bCs/>
                <w:szCs w:val="24"/>
              </w:rPr>
            </w:pPr>
            <w:r w:rsidRPr="006F3424">
              <w:rPr>
                <w:rFonts w:ascii="Garamond" w:hAnsi="Garamond"/>
                <w:b/>
                <w:bCs/>
                <w:szCs w:val="24"/>
              </w:rPr>
              <w:t>Land Subsidence</w:t>
            </w:r>
          </w:p>
        </w:tc>
      </w:tr>
      <w:tr w:rsidR="005608AB" w:rsidRPr="006F3424" w:rsidTr="005F36B6">
        <w:trPr>
          <w:trHeight w:val="326"/>
          <w:jc w:val="center"/>
        </w:trPr>
        <w:tc>
          <w:tcPr>
            <w:tcW w:w="1538" w:type="dxa"/>
            <w:vMerge w:val="restart"/>
            <w:vAlign w:val="center"/>
          </w:tcPr>
          <w:p w:rsidR="005608AB" w:rsidRPr="006F3424" w:rsidRDefault="005608AB" w:rsidP="00F97FBE">
            <w:pPr>
              <w:jc w:val="center"/>
              <w:rPr>
                <w:rFonts w:ascii="Garamond" w:hAnsi="Garamond"/>
                <w:szCs w:val="24"/>
              </w:rPr>
            </w:pPr>
            <w:r w:rsidRPr="006F3424">
              <w:rPr>
                <w:rFonts w:ascii="Garamond" w:hAnsi="Garamond"/>
                <w:szCs w:val="24"/>
              </w:rPr>
              <w:t>DKI Jakarta</w:t>
            </w:r>
          </w:p>
        </w:tc>
        <w:tc>
          <w:tcPr>
            <w:tcW w:w="2354" w:type="dxa"/>
          </w:tcPr>
          <w:p w:rsidR="005608AB" w:rsidRPr="006F3424" w:rsidRDefault="005608AB" w:rsidP="00F97FBE">
            <w:pPr>
              <w:spacing w:line="240" w:lineRule="auto"/>
              <w:jc w:val="center"/>
              <w:rPr>
                <w:rFonts w:ascii="Garamond" w:hAnsi="Garamond"/>
                <w:szCs w:val="24"/>
              </w:rPr>
            </w:pPr>
            <w:r w:rsidRPr="006F3424">
              <w:rPr>
                <w:rFonts w:ascii="Garamond" w:hAnsi="Garamond"/>
                <w:szCs w:val="24"/>
              </w:rPr>
              <w:t>2016</w:t>
            </w:r>
          </w:p>
        </w:tc>
        <w:tc>
          <w:tcPr>
            <w:tcW w:w="1962" w:type="dxa"/>
          </w:tcPr>
          <w:p w:rsidR="005608AB" w:rsidRPr="006F3424" w:rsidRDefault="005608AB" w:rsidP="00F97FBE">
            <w:pPr>
              <w:spacing w:line="240" w:lineRule="auto"/>
              <w:jc w:val="center"/>
              <w:rPr>
                <w:rFonts w:ascii="Garamond" w:hAnsi="Garamond"/>
                <w:szCs w:val="24"/>
              </w:rPr>
            </w:pPr>
            <w:r w:rsidRPr="006F3424">
              <w:rPr>
                <w:rFonts w:ascii="Garamond" w:hAnsi="Garamond"/>
                <w:szCs w:val="24"/>
              </w:rPr>
              <w:t>2017</w:t>
            </w:r>
          </w:p>
        </w:tc>
        <w:tc>
          <w:tcPr>
            <w:tcW w:w="2716" w:type="dxa"/>
          </w:tcPr>
          <w:p w:rsidR="005608AB" w:rsidRPr="006F3424" w:rsidRDefault="005608AB" w:rsidP="00F97FBE">
            <w:pPr>
              <w:spacing w:line="240" w:lineRule="auto"/>
              <w:jc w:val="center"/>
              <w:rPr>
                <w:rFonts w:ascii="Garamond" w:hAnsi="Garamond"/>
                <w:szCs w:val="24"/>
              </w:rPr>
            </w:pPr>
            <w:r w:rsidRPr="006F3424">
              <w:rPr>
                <w:rFonts w:ascii="Garamond" w:hAnsi="Garamond"/>
                <w:szCs w:val="24"/>
              </w:rPr>
              <w:t>2021</w:t>
            </w:r>
          </w:p>
        </w:tc>
      </w:tr>
      <w:tr w:rsidR="005608AB" w:rsidRPr="006F3424" w:rsidTr="005F36B6">
        <w:trPr>
          <w:trHeight w:val="346"/>
          <w:jc w:val="center"/>
        </w:trPr>
        <w:tc>
          <w:tcPr>
            <w:tcW w:w="1538" w:type="dxa"/>
            <w:vMerge/>
          </w:tcPr>
          <w:p w:rsidR="005608AB" w:rsidRPr="006F3424" w:rsidRDefault="005608AB" w:rsidP="00F97FBE">
            <w:pPr>
              <w:jc w:val="both"/>
              <w:rPr>
                <w:rFonts w:ascii="Garamond" w:hAnsi="Garamond"/>
                <w:szCs w:val="24"/>
              </w:rPr>
            </w:pPr>
          </w:p>
        </w:tc>
        <w:tc>
          <w:tcPr>
            <w:tcW w:w="2354" w:type="dxa"/>
          </w:tcPr>
          <w:p w:rsidR="005608AB" w:rsidRPr="006F3424" w:rsidRDefault="005608AB" w:rsidP="00F97FBE">
            <w:pPr>
              <w:tabs>
                <w:tab w:val="left" w:pos="2430"/>
              </w:tabs>
              <w:spacing w:line="240" w:lineRule="auto"/>
              <w:jc w:val="center"/>
              <w:rPr>
                <w:rFonts w:ascii="Garamond" w:hAnsi="Garamond"/>
                <w:szCs w:val="24"/>
                <w:highlight w:val="white"/>
              </w:rPr>
            </w:pPr>
            <w:r w:rsidRPr="006F3424">
              <w:rPr>
                <w:rFonts w:ascii="Garamond" w:hAnsi="Garamond"/>
                <w:szCs w:val="24"/>
                <w:highlight w:val="white"/>
              </w:rPr>
              <w:t>-12,5583418 cm/year</w:t>
            </w:r>
          </w:p>
        </w:tc>
        <w:tc>
          <w:tcPr>
            <w:tcW w:w="1962" w:type="dxa"/>
          </w:tcPr>
          <w:p w:rsidR="005608AB" w:rsidRPr="006F3424" w:rsidRDefault="005608AB" w:rsidP="00F97FBE">
            <w:pPr>
              <w:widowControl w:val="0"/>
              <w:spacing w:after="0" w:line="240" w:lineRule="auto"/>
              <w:jc w:val="center"/>
              <w:rPr>
                <w:rFonts w:ascii="Garamond" w:hAnsi="Garamond"/>
                <w:szCs w:val="24"/>
                <w:highlight w:val="white"/>
              </w:rPr>
            </w:pPr>
            <w:r w:rsidRPr="006F3424">
              <w:rPr>
                <w:rFonts w:ascii="Garamond" w:hAnsi="Garamond"/>
                <w:szCs w:val="24"/>
                <w:highlight w:val="white"/>
              </w:rPr>
              <w:t xml:space="preserve">-1,8289 (~-1,8) </w:t>
            </w:r>
            <w:r w:rsidRPr="006F3424">
              <w:rPr>
                <w:rFonts w:ascii="Garamond" w:hAnsi="Garamond"/>
                <w:szCs w:val="24"/>
              </w:rPr>
              <w:t>cm/year</w:t>
            </w:r>
          </w:p>
        </w:tc>
        <w:tc>
          <w:tcPr>
            <w:tcW w:w="2716" w:type="dxa"/>
          </w:tcPr>
          <w:p w:rsidR="005608AB" w:rsidRPr="006F3424" w:rsidRDefault="005608AB" w:rsidP="00F97FBE">
            <w:pPr>
              <w:spacing w:line="240" w:lineRule="auto"/>
              <w:jc w:val="center"/>
              <w:rPr>
                <w:rFonts w:ascii="Garamond" w:hAnsi="Garamond"/>
                <w:szCs w:val="24"/>
              </w:rPr>
            </w:pPr>
            <w:r w:rsidRPr="006F3424">
              <w:rPr>
                <w:rFonts w:ascii="Garamond" w:hAnsi="Garamond"/>
                <w:szCs w:val="24"/>
              </w:rPr>
              <w:t>-0.7 cm - -2.3 cm/year</w:t>
            </w:r>
          </w:p>
        </w:tc>
      </w:tr>
      <w:tr w:rsidR="005608AB" w:rsidRPr="006F3424" w:rsidTr="00F97FBE">
        <w:trPr>
          <w:trHeight w:val="64"/>
          <w:jc w:val="center"/>
        </w:trPr>
        <w:tc>
          <w:tcPr>
            <w:tcW w:w="1538" w:type="dxa"/>
            <w:vMerge/>
          </w:tcPr>
          <w:p w:rsidR="005608AB" w:rsidRPr="006F3424" w:rsidRDefault="005608AB" w:rsidP="00F97FBE">
            <w:pPr>
              <w:spacing w:after="0" w:line="240" w:lineRule="auto"/>
              <w:jc w:val="both"/>
              <w:rPr>
                <w:rFonts w:ascii="Garamond" w:hAnsi="Garamond"/>
                <w:szCs w:val="24"/>
              </w:rPr>
            </w:pPr>
          </w:p>
        </w:tc>
        <w:tc>
          <w:tcPr>
            <w:tcW w:w="4316" w:type="dxa"/>
            <w:gridSpan w:val="2"/>
          </w:tcPr>
          <w:p w:rsidR="005608AB" w:rsidRPr="006F3424" w:rsidRDefault="005608AB" w:rsidP="00F97FBE">
            <w:pPr>
              <w:widowControl w:val="0"/>
              <w:spacing w:after="0" w:line="240" w:lineRule="auto"/>
              <w:jc w:val="center"/>
              <w:rPr>
                <w:rFonts w:ascii="Garamond" w:hAnsi="Garamond"/>
                <w:szCs w:val="24"/>
                <w:highlight w:val="white"/>
              </w:rPr>
            </w:pPr>
            <w:r w:rsidRPr="006F3424">
              <w:rPr>
                <w:rFonts w:ascii="Garamond" w:hAnsi="Garamond"/>
                <w:szCs w:val="24"/>
                <w:highlight w:val="white"/>
              </w:rPr>
              <w:t>[1]</w:t>
            </w:r>
          </w:p>
        </w:tc>
        <w:tc>
          <w:tcPr>
            <w:tcW w:w="2716" w:type="dxa"/>
          </w:tcPr>
          <w:p w:rsidR="005608AB" w:rsidRPr="006F3424" w:rsidRDefault="005608AB" w:rsidP="00F97FBE">
            <w:pPr>
              <w:spacing w:after="0" w:line="240" w:lineRule="auto"/>
              <w:jc w:val="center"/>
              <w:rPr>
                <w:rFonts w:ascii="Garamond" w:hAnsi="Garamond"/>
                <w:szCs w:val="24"/>
              </w:rPr>
            </w:pPr>
            <w:r w:rsidRPr="006F3424">
              <w:rPr>
                <w:rFonts w:ascii="Garamond" w:hAnsi="Garamond"/>
                <w:szCs w:val="24"/>
              </w:rPr>
              <w:t>[2]</w:t>
            </w:r>
          </w:p>
        </w:tc>
      </w:tr>
    </w:tbl>
    <w:p w:rsidR="005608AB" w:rsidRDefault="00A76D16" w:rsidP="005608AB">
      <w:pPr>
        <w:pBdr>
          <w:top w:val="nil"/>
          <w:left w:val="nil"/>
          <w:bottom w:val="nil"/>
          <w:right w:val="nil"/>
          <w:between w:val="nil"/>
        </w:pBdr>
        <w:spacing w:line="276" w:lineRule="auto"/>
        <w:jc w:val="both"/>
        <w:rPr>
          <w:rFonts w:ascii="Garamond" w:eastAsia="Garamond" w:hAnsi="Garamond" w:cs="Garamond"/>
          <w:color w:val="000000"/>
          <w:lang w:val="id-ID"/>
        </w:rPr>
      </w:pPr>
      <w:r w:rsidRPr="00A76D16">
        <w:rPr>
          <w:rFonts w:ascii="Garamond" w:eastAsia="Garamond" w:hAnsi="Garamond" w:cs="Garamond"/>
          <w:color w:val="000000"/>
          <w:lang w:val="id-ID"/>
        </w:rPr>
        <w:t>(</w:t>
      </w:r>
      <w:proofErr w:type="spellStart"/>
      <w:r w:rsidRPr="00A76D16">
        <w:rPr>
          <w:rFonts w:ascii="Garamond" w:eastAsia="Garamond" w:hAnsi="Garamond" w:cs="Garamond"/>
          <w:color w:val="000000"/>
          <w:lang w:val="id-ID"/>
        </w:rPr>
        <w:t>Source</w:t>
      </w:r>
      <w:proofErr w:type="spellEnd"/>
      <w:r w:rsidRPr="00A76D16">
        <w:rPr>
          <w:rFonts w:ascii="Garamond" w:eastAsia="Garamond" w:hAnsi="Garamond" w:cs="Garamond"/>
          <w:color w:val="000000"/>
          <w:lang w:val="id-ID"/>
        </w:rPr>
        <w:t xml:space="preserve"> : [</w:t>
      </w:r>
      <w:r w:rsidR="00474001">
        <w:rPr>
          <w:rFonts w:ascii="Garamond" w:eastAsia="Garamond" w:hAnsi="Garamond" w:cs="Garamond"/>
          <w:color w:val="000000"/>
          <w:lang w:val="en-GB"/>
        </w:rPr>
        <w:t>1</w:t>
      </w:r>
      <w:r w:rsidRPr="00A76D16">
        <w:rPr>
          <w:rFonts w:ascii="Garamond" w:eastAsia="Garamond" w:hAnsi="Garamond" w:cs="Garamond"/>
          <w:color w:val="000000"/>
          <w:lang w:val="id-ID"/>
        </w:rPr>
        <w:t>] I Putu Pudja, 2018. [2</w:t>
      </w:r>
      <w:bookmarkStart w:id="1" w:name="_GoBack"/>
      <w:bookmarkEnd w:id="1"/>
      <w:r w:rsidRPr="00A76D16">
        <w:rPr>
          <w:rFonts w:ascii="Garamond" w:eastAsia="Garamond" w:hAnsi="Garamond" w:cs="Garamond"/>
          <w:color w:val="000000"/>
          <w:lang w:val="id-ID"/>
        </w:rPr>
        <w:t>] data processing).</w:t>
      </w:r>
    </w:p>
    <w:p w:rsidR="00A76D16" w:rsidRPr="00A76D16" w:rsidRDefault="00A76D16" w:rsidP="005C632E">
      <w:pPr>
        <w:pBdr>
          <w:top w:val="nil"/>
          <w:left w:val="nil"/>
          <w:bottom w:val="nil"/>
          <w:right w:val="nil"/>
          <w:between w:val="nil"/>
        </w:pBdr>
        <w:spacing w:after="0" w:line="276" w:lineRule="auto"/>
        <w:jc w:val="both"/>
        <w:rPr>
          <w:rFonts w:ascii="Garamond" w:eastAsia="Garamond" w:hAnsi="Garamond" w:cs="Garamond"/>
          <w:color w:val="000000"/>
          <w:lang w:val="id-ID"/>
        </w:rPr>
      </w:pPr>
      <w:r w:rsidRPr="00A76D16">
        <w:rPr>
          <w:rFonts w:ascii="Garamond" w:eastAsia="Garamond" w:hAnsi="Garamond" w:cs="Garamond"/>
          <w:color w:val="000000"/>
          <w:lang w:val="id-ID"/>
        </w:rPr>
        <w:t>Land subsidence in Jakarta in 2016 was caused by various factors, such as excessive groundwater extraction, development on land that should not be built such as on swamp or sea, and uncontrolled land use change. This causes land in Jakarta to become lower and prone to flooding.</w:t>
      </w:r>
    </w:p>
    <w:p w:rsidR="00A76D16" w:rsidRPr="005C632E" w:rsidRDefault="00A76D16" w:rsidP="005C632E">
      <w:pPr>
        <w:pBdr>
          <w:top w:val="nil"/>
          <w:left w:val="nil"/>
          <w:bottom w:val="nil"/>
          <w:right w:val="nil"/>
          <w:between w:val="nil"/>
        </w:pBdr>
        <w:spacing w:after="0" w:line="276" w:lineRule="auto"/>
        <w:ind w:firstLine="426"/>
        <w:jc w:val="both"/>
        <w:rPr>
          <w:rFonts w:ascii="Garamond" w:eastAsia="Garamond" w:hAnsi="Garamond" w:cs="Garamond"/>
          <w:color w:val="000000"/>
        </w:rPr>
      </w:pPr>
      <w:r w:rsidRPr="00A76D16">
        <w:rPr>
          <w:rFonts w:ascii="Garamond" w:eastAsia="Garamond" w:hAnsi="Garamond" w:cs="Garamond"/>
          <w:color w:val="000000"/>
          <w:lang w:val="id-ID"/>
        </w:rPr>
        <w:t>In 2017 Jakarta still experienced significant subsidence. Some areas affected by subsidence include North Jakarta, West Jakarta, South Jakarta, and East Jakarta. This subsidence is still caused by some of the same factors as the previous year, such as excessive groundwater mining activities, increased building and infrastructure loads, and geological conditions that allow subsidence to occur.</w:t>
      </w:r>
    </w:p>
    <w:p w:rsidR="005C632E" w:rsidRDefault="00A76D16" w:rsidP="005C632E">
      <w:pPr>
        <w:pBdr>
          <w:top w:val="nil"/>
          <w:left w:val="nil"/>
          <w:bottom w:val="nil"/>
          <w:right w:val="nil"/>
          <w:between w:val="nil"/>
        </w:pBdr>
        <w:spacing w:after="0" w:line="276" w:lineRule="auto"/>
        <w:ind w:firstLine="426"/>
        <w:jc w:val="both"/>
        <w:rPr>
          <w:rFonts w:ascii="Garamond" w:eastAsia="Garamond" w:hAnsi="Garamond" w:cs="Garamond"/>
          <w:color w:val="000000"/>
          <w:lang w:val="id-ID"/>
        </w:rPr>
      </w:pPr>
      <w:r w:rsidRPr="00A76D16">
        <w:rPr>
          <w:rFonts w:ascii="Garamond" w:eastAsia="Garamond" w:hAnsi="Garamond" w:cs="Garamond"/>
          <w:color w:val="000000"/>
          <w:lang w:val="id-ID"/>
        </w:rPr>
        <w:t>In 2021, due to a number of factors, namely rising sea levels as a result of climate change and a number of other factors such as excessive groundwater extraction activities, land use change and development. climate change and several other factors such as excessive groundwater extraction, land-use change, uncontrolled development and geological and Mining activities, land-use change, uncontrolled development, and geological and hydrological conditions that allow the occurrence of uncontrolled development, and geological and hydrological conditions that allow the occurrence of uncontrolled development, and uncontrolled development and geological and hydrological conditions that allow land subsidence to occur.</w:t>
      </w:r>
    </w:p>
    <w:p w:rsidR="000A02B3" w:rsidRPr="000A02B3" w:rsidRDefault="000A02B3" w:rsidP="000A02B3">
      <w:pPr>
        <w:pBdr>
          <w:top w:val="nil"/>
          <w:left w:val="nil"/>
          <w:bottom w:val="nil"/>
          <w:right w:val="nil"/>
          <w:between w:val="nil"/>
        </w:pBdr>
        <w:spacing w:after="0" w:line="276" w:lineRule="auto"/>
        <w:ind w:firstLine="426"/>
        <w:jc w:val="both"/>
        <w:rPr>
          <w:rFonts w:ascii="Garamond" w:eastAsia="Garamond" w:hAnsi="Garamond" w:cs="Garamond"/>
          <w:color w:val="000000"/>
          <w:lang w:val="id-ID"/>
        </w:rPr>
      </w:pPr>
      <w:r w:rsidRPr="000A02B3">
        <w:rPr>
          <w:rFonts w:ascii="Garamond" w:eastAsia="Garamond" w:hAnsi="Garamond" w:cs="Garamond"/>
          <w:color w:val="000000"/>
          <w:lang w:val="id-ID"/>
        </w:rPr>
        <w:t>A comparison between 2021 and 2016-2017 shows an interesting change. From 2016 to 2017, there was a very large decrease in the rate of subsidence, decreasing by about -10.7 cm per year. However, from 2017 to 2021, the subsidence rate experienced a more stable change, ranging from -0.7 cm to -2.3 cm per year.</w:t>
      </w:r>
      <w:r>
        <w:rPr>
          <w:rFonts w:ascii="Garamond" w:eastAsia="Garamond" w:hAnsi="Garamond" w:cs="Garamond"/>
          <w:color w:val="000000"/>
        </w:rPr>
        <w:t xml:space="preserve"> </w:t>
      </w:r>
      <w:r w:rsidRPr="000A02B3">
        <w:rPr>
          <w:rFonts w:ascii="Garamond" w:eastAsia="Garamond" w:hAnsi="Garamond" w:cs="Garamond"/>
          <w:color w:val="000000"/>
          <w:lang w:val="id-ID"/>
        </w:rPr>
        <w:t>This could indicate a change in the factors affecting subsidence between 2016-2017 and 2021.</w:t>
      </w:r>
    </w:p>
    <w:p w:rsidR="00A76D16" w:rsidRPr="00F829CE" w:rsidRDefault="00A76D16" w:rsidP="005C632E">
      <w:pPr>
        <w:pBdr>
          <w:top w:val="nil"/>
          <w:left w:val="nil"/>
          <w:bottom w:val="nil"/>
          <w:right w:val="nil"/>
          <w:between w:val="nil"/>
        </w:pBdr>
        <w:spacing w:after="0" w:line="276" w:lineRule="auto"/>
        <w:ind w:firstLine="426"/>
        <w:jc w:val="both"/>
        <w:rPr>
          <w:rFonts w:ascii="Garamond" w:eastAsia="Garamond" w:hAnsi="Garamond" w:cs="Garamond"/>
          <w:color w:val="000000"/>
        </w:rPr>
      </w:pPr>
      <w:r w:rsidRPr="00A76D16">
        <w:rPr>
          <w:rFonts w:ascii="Garamond" w:eastAsia="Garamond" w:hAnsi="Garamond" w:cs="Garamond"/>
          <w:color w:val="000000"/>
          <w:lang w:val="id-ID"/>
        </w:rPr>
        <w:t>To overcome the problem of land subsidence, the government has made various efforts, such as better groundwater management, the application of technology to monitor changes in land surface, and increasing public awareness about the importance of protecting and preserving the environment. However, the problem of land subsidence in Jakarta is complex and ongoing. Therefore, more integrated and sustainable efforts are needed in groundwater management and overall environmental governance, as well as the application of more sophisticated and innovative technologies to monitor and control future land subsidence changes.</w:t>
      </w:r>
      <w:r w:rsidR="00F829CE">
        <w:rPr>
          <w:rFonts w:ascii="Garamond" w:eastAsia="Garamond" w:hAnsi="Garamond" w:cs="Garamond"/>
          <w:color w:val="000000"/>
        </w:rPr>
        <w:t xml:space="preserve"> </w:t>
      </w:r>
      <w:r w:rsidR="00F829CE" w:rsidRPr="00F829CE">
        <w:rPr>
          <w:rFonts w:ascii="Garamond" w:eastAsia="Garamond" w:hAnsi="Garamond" w:cs="Garamond"/>
          <w:color w:val="000000"/>
        </w:rPr>
        <w:t>With these suggestions and recommendations, it is hoped that it can help the government and the community to reduce the problem of subsidence in the DKI Jakarta area. However, keep in mind that these efforts must be carried out jointly and continuously to achieve optimal results.</w:t>
      </w:r>
    </w:p>
    <w:p w:rsidR="00CE0CEA" w:rsidRPr="00A76D16" w:rsidRDefault="00CE0CEA" w:rsidP="005C632E">
      <w:pPr>
        <w:pBdr>
          <w:top w:val="nil"/>
          <w:left w:val="nil"/>
          <w:bottom w:val="nil"/>
          <w:right w:val="nil"/>
          <w:between w:val="nil"/>
        </w:pBdr>
        <w:spacing w:after="0" w:line="276" w:lineRule="auto"/>
        <w:ind w:firstLine="426"/>
        <w:jc w:val="both"/>
        <w:rPr>
          <w:rFonts w:ascii="Garamond" w:eastAsia="Garamond" w:hAnsi="Garamond" w:cs="Garamond"/>
          <w:color w:val="000000"/>
          <w:lang w:val="id-ID"/>
        </w:rPr>
      </w:pPr>
    </w:p>
    <w:p w:rsidR="00FB61C9" w:rsidRDefault="00291ED8">
      <w:pPr>
        <w:pStyle w:val="Heading1"/>
        <w:numPr>
          <w:ilvl w:val="0"/>
          <w:numId w:val="3"/>
        </w:numPr>
        <w:spacing w:before="240" w:after="120" w:line="276" w:lineRule="auto"/>
        <w:ind w:left="426" w:hanging="426"/>
        <w:jc w:val="left"/>
        <w:rPr>
          <w:rFonts w:ascii="Garamond" w:eastAsia="Garamond" w:hAnsi="Garamond" w:cs="Garamond"/>
          <w:sz w:val="28"/>
          <w:szCs w:val="28"/>
        </w:rPr>
      </w:pPr>
      <w:r>
        <w:rPr>
          <w:rFonts w:ascii="Garamond" w:eastAsia="Garamond" w:hAnsi="Garamond" w:cs="Garamond"/>
          <w:sz w:val="28"/>
          <w:szCs w:val="28"/>
        </w:rPr>
        <w:lastRenderedPageBreak/>
        <w:t>Conclusion</w:t>
      </w:r>
    </w:p>
    <w:p w:rsidR="00A76D16" w:rsidRDefault="00A76D16">
      <w:pPr>
        <w:spacing w:after="0" w:line="276" w:lineRule="auto"/>
        <w:ind w:firstLine="426"/>
        <w:jc w:val="both"/>
        <w:rPr>
          <w:rFonts w:ascii="Garamond" w:eastAsia="Garamond" w:hAnsi="Garamond" w:cs="Garamond"/>
        </w:rPr>
      </w:pPr>
      <w:r w:rsidRPr="00A76D16">
        <w:rPr>
          <w:rFonts w:ascii="Garamond" w:eastAsia="Garamond" w:hAnsi="Garamond" w:cs="Garamond"/>
        </w:rPr>
        <w:t xml:space="preserve">Based on the results of data processing that has been carried out using the DInSAR method in the ESA SNAP application using Sentinel 1A imagery with data for the DKI Jakarta area in 2021, it can be concluded that for one year in 2021 the results of the decline in the area are -0.7 cm </w:t>
      </w:r>
      <w:r w:rsidR="006F3424">
        <w:rPr>
          <w:rFonts w:ascii="Garamond" w:eastAsia="Garamond" w:hAnsi="Garamond" w:cs="Garamond"/>
        </w:rPr>
        <w:t>to</w:t>
      </w:r>
      <w:r w:rsidRPr="00A76D16">
        <w:rPr>
          <w:rFonts w:ascii="Garamond" w:eastAsia="Garamond" w:hAnsi="Garamond" w:cs="Garamond"/>
        </w:rPr>
        <w:t xml:space="preserve"> -2.3 cm which is located near the Jakarta sea waters for one year in 2021. This occurs due to several factors, namely triggered by sea level rise as a result of climate change and several other factors such as excessive groundwater mining activities, land use changes, uncontrolled development, and geological and hydrological conditions that allow land subsidence. In addition, there is also the impact of land subsidence, as well as the special character of coastal Jakarta which is sloping and located in a bay and the existence of increased residential development in 2021.</w:t>
      </w:r>
    </w:p>
    <w:p w:rsidR="00FB61C9" w:rsidRDefault="00291ED8">
      <w:pPr>
        <w:keepNext/>
        <w:keepLines/>
        <w:pBdr>
          <w:top w:val="nil"/>
          <w:left w:val="nil"/>
          <w:bottom w:val="nil"/>
          <w:right w:val="nil"/>
          <w:between w:val="nil"/>
        </w:pBdr>
        <w:spacing w:before="240" w:after="120" w:line="276" w:lineRule="auto"/>
        <w:rPr>
          <w:rFonts w:ascii="Garamond" w:eastAsia="Garamond" w:hAnsi="Garamond" w:cs="Garamond"/>
          <w:b/>
          <w:color w:val="000000"/>
          <w:sz w:val="28"/>
          <w:szCs w:val="28"/>
        </w:rPr>
      </w:pPr>
      <w:r>
        <w:rPr>
          <w:rFonts w:ascii="Garamond" w:eastAsia="Garamond" w:hAnsi="Garamond" w:cs="Garamond"/>
          <w:b/>
          <w:color w:val="000000"/>
          <w:sz w:val="28"/>
          <w:szCs w:val="28"/>
        </w:rPr>
        <w:t>Acknowledgments</w:t>
      </w:r>
    </w:p>
    <w:p w:rsidR="00FB61C9" w:rsidRDefault="000F6D71">
      <w:pPr>
        <w:spacing w:after="240" w:line="276" w:lineRule="auto"/>
        <w:jc w:val="both"/>
        <w:rPr>
          <w:rFonts w:ascii="Garamond" w:eastAsia="Garamond" w:hAnsi="Garamond" w:cs="Garamond"/>
        </w:rPr>
      </w:pPr>
      <w:r w:rsidRPr="000F6D71">
        <w:rPr>
          <w:rFonts w:ascii="Garamond" w:eastAsia="Garamond" w:hAnsi="Garamond" w:cs="Garamond"/>
        </w:rPr>
        <w:t>I'd like to express my gratitude to my parents, the BRIN Institute (National Research and Innovation Agency) for Remote Sensing for imparting valuable knowledge about remote sensing, the EU Copernicus program for granting access to Sentinel-1A satellite data, the ESA SNAP forum for offering invaluable assistance during this research, and my friends for their unwavering support.</w:t>
      </w:r>
      <w:r w:rsidR="00AE6F85">
        <w:rPr>
          <w:rFonts w:ascii="Garamond" w:eastAsia="Garamond" w:hAnsi="Garamond" w:cs="Garamond"/>
        </w:rPr>
        <w:t xml:space="preserve"> </w:t>
      </w:r>
    </w:p>
    <w:p w:rsidR="00FB61C9" w:rsidRDefault="00291ED8">
      <w:pPr>
        <w:keepNext/>
        <w:keepLines/>
        <w:pBdr>
          <w:top w:val="nil"/>
          <w:left w:val="nil"/>
          <w:bottom w:val="nil"/>
          <w:right w:val="nil"/>
          <w:between w:val="nil"/>
        </w:pBdr>
        <w:spacing w:before="240" w:after="120" w:line="276" w:lineRule="auto"/>
        <w:rPr>
          <w:rFonts w:ascii="Garamond" w:eastAsia="Garamond" w:hAnsi="Garamond" w:cs="Garamond"/>
          <w:b/>
          <w:color w:val="000000"/>
          <w:sz w:val="28"/>
          <w:szCs w:val="28"/>
        </w:rPr>
      </w:pPr>
      <w:r>
        <w:rPr>
          <w:rFonts w:ascii="Garamond" w:eastAsia="Garamond" w:hAnsi="Garamond" w:cs="Garamond"/>
          <w:b/>
          <w:color w:val="000000"/>
          <w:sz w:val="28"/>
          <w:szCs w:val="28"/>
        </w:rPr>
        <w:t>References</w:t>
      </w:r>
    </w:p>
    <w:p w:rsidR="003F0E39" w:rsidRDefault="003F0E39" w:rsidP="005D703A">
      <w:pPr>
        <w:numPr>
          <w:ilvl w:val="0"/>
          <w:numId w:val="2"/>
        </w:numPr>
        <w:pBdr>
          <w:top w:val="nil"/>
          <w:left w:val="nil"/>
          <w:bottom w:val="nil"/>
          <w:right w:val="nil"/>
          <w:between w:val="nil"/>
        </w:pBdr>
        <w:tabs>
          <w:tab w:val="left" w:pos="567"/>
        </w:tabs>
        <w:spacing w:line="276" w:lineRule="auto"/>
        <w:ind w:left="567" w:hanging="567"/>
        <w:jc w:val="both"/>
        <w:rPr>
          <w:rFonts w:ascii="Garamond" w:hAnsi="Garamond"/>
          <w:szCs w:val="24"/>
        </w:rPr>
      </w:pPr>
      <w:proofErr w:type="spellStart"/>
      <w:r w:rsidRPr="003F0E39">
        <w:rPr>
          <w:rFonts w:ascii="Garamond" w:hAnsi="Garamond"/>
          <w:szCs w:val="24"/>
        </w:rPr>
        <w:t>Pudja</w:t>
      </w:r>
      <w:proofErr w:type="spellEnd"/>
      <w:r w:rsidRPr="003F0E39">
        <w:rPr>
          <w:rFonts w:ascii="Garamond" w:hAnsi="Garamond"/>
          <w:szCs w:val="24"/>
        </w:rPr>
        <w:t>, C. I. (2018). Analysis of Land Subsidence in DKI Jakarta Using the Differential Interferometry Synthetic Aperture Radar (</w:t>
      </w:r>
      <w:proofErr w:type="spellStart"/>
      <w:r w:rsidRPr="003F0E39">
        <w:rPr>
          <w:rFonts w:ascii="Garamond" w:hAnsi="Garamond"/>
          <w:szCs w:val="24"/>
        </w:rPr>
        <w:t>DInSAR</w:t>
      </w:r>
      <w:proofErr w:type="spellEnd"/>
      <w:r w:rsidRPr="003F0E39">
        <w:rPr>
          <w:rFonts w:ascii="Garamond" w:hAnsi="Garamond"/>
          <w:szCs w:val="24"/>
        </w:rPr>
        <w:t>) Method. Journal of Physics and Innovation in Physics, 2(2), 88–99</w:t>
      </w:r>
      <w:r w:rsidR="00C12B2D">
        <w:rPr>
          <w:rFonts w:ascii="Garamond" w:hAnsi="Garamond"/>
          <w:szCs w:val="24"/>
        </w:rPr>
        <w:t>, [Online].</w:t>
      </w:r>
    </w:p>
    <w:p w:rsidR="00FF17F1" w:rsidRDefault="005F0736" w:rsidP="00FF17F1">
      <w:pPr>
        <w:numPr>
          <w:ilvl w:val="0"/>
          <w:numId w:val="2"/>
        </w:numPr>
        <w:pBdr>
          <w:top w:val="nil"/>
          <w:left w:val="nil"/>
          <w:bottom w:val="nil"/>
          <w:right w:val="nil"/>
          <w:between w:val="nil"/>
        </w:pBdr>
        <w:tabs>
          <w:tab w:val="left" w:pos="567"/>
        </w:tabs>
        <w:spacing w:line="276" w:lineRule="auto"/>
        <w:ind w:left="567" w:hanging="567"/>
        <w:jc w:val="both"/>
        <w:rPr>
          <w:rFonts w:ascii="Garamond" w:hAnsi="Garamond"/>
          <w:szCs w:val="24"/>
        </w:rPr>
      </w:pPr>
      <w:r w:rsidRPr="005F0736">
        <w:rPr>
          <w:rFonts w:ascii="Garamond" w:hAnsi="Garamond"/>
          <w:szCs w:val="24"/>
        </w:rPr>
        <w:t>Kuang, S. (1996). Geodetic Network Analysis and Optimal Design. Ann Arbor Press, Chelsea, Michigan.</w:t>
      </w:r>
    </w:p>
    <w:p w:rsidR="005F0736" w:rsidRPr="008948CC" w:rsidRDefault="005F0736" w:rsidP="00FF17F1">
      <w:pPr>
        <w:numPr>
          <w:ilvl w:val="0"/>
          <w:numId w:val="2"/>
        </w:numPr>
        <w:pBdr>
          <w:top w:val="nil"/>
          <w:left w:val="nil"/>
          <w:bottom w:val="nil"/>
          <w:right w:val="nil"/>
          <w:between w:val="nil"/>
        </w:pBdr>
        <w:tabs>
          <w:tab w:val="left" w:pos="567"/>
        </w:tabs>
        <w:spacing w:line="276" w:lineRule="auto"/>
        <w:ind w:left="567" w:hanging="567"/>
        <w:jc w:val="both"/>
        <w:rPr>
          <w:rFonts w:ascii="Garamond" w:hAnsi="Garamond"/>
          <w:szCs w:val="24"/>
          <w:lang w:val="de-DE"/>
        </w:rPr>
      </w:pPr>
      <w:r w:rsidRPr="008948CC">
        <w:rPr>
          <w:rFonts w:ascii="Garamond" w:hAnsi="Garamond"/>
          <w:szCs w:val="24"/>
          <w:lang w:val="de-DE"/>
        </w:rPr>
        <w:t>BPS. (2020). BPS Provinsi DKI Jakarta,[Online]</w:t>
      </w:r>
    </w:p>
    <w:p w:rsidR="005D703A" w:rsidRDefault="00FE2A45" w:rsidP="005D703A">
      <w:pPr>
        <w:numPr>
          <w:ilvl w:val="0"/>
          <w:numId w:val="2"/>
        </w:numPr>
        <w:pBdr>
          <w:top w:val="nil"/>
          <w:left w:val="nil"/>
          <w:bottom w:val="nil"/>
          <w:right w:val="nil"/>
          <w:between w:val="nil"/>
        </w:pBdr>
        <w:tabs>
          <w:tab w:val="left" w:pos="567"/>
        </w:tabs>
        <w:spacing w:line="276" w:lineRule="auto"/>
        <w:ind w:left="567" w:hanging="567"/>
        <w:jc w:val="both"/>
        <w:rPr>
          <w:rFonts w:ascii="Garamond" w:hAnsi="Garamond"/>
          <w:szCs w:val="24"/>
        </w:rPr>
      </w:pPr>
      <w:proofErr w:type="spellStart"/>
      <w:r w:rsidRPr="00FE2A45">
        <w:rPr>
          <w:rFonts w:ascii="Garamond" w:hAnsi="Garamond"/>
          <w:szCs w:val="24"/>
        </w:rPr>
        <w:t>Hadiyanto</w:t>
      </w:r>
      <w:proofErr w:type="spellEnd"/>
      <w:r w:rsidRPr="00FE2A45">
        <w:rPr>
          <w:rFonts w:ascii="Garamond" w:hAnsi="Garamond"/>
          <w:szCs w:val="24"/>
        </w:rPr>
        <w:t>, E. H. (2011). Deformation Study of Mount Merapi Using Interferometry Synthetic Aperture Radar (</w:t>
      </w:r>
      <w:proofErr w:type="spellStart"/>
      <w:r w:rsidRPr="00FE2A45">
        <w:rPr>
          <w:rFonts w:ascii="Garamond" w:hAnsi="Garamond"/>
          <w:szCs w:val="24"/>
        </w:rPr>
        <w:t>InSAR</w:t>
      </w:r>
      <w:proofErr w:type="spellEnd"/>
      <w:r w:rsidRPr="00FE2A45">
        <w:rPr>
          <w:rFonts w:ascii="Garamond" w:hAnsi="Garamond"/>
          <w:szCs w:val="24"/>
        </w:rPr>
        <w:t xml:space="preserve">) Technology. Surabaya: Geomatics Engineering, </w:t>
      </w:r>
      <w:proofErr w:type="spellStart"/>
      <w:r w:rsidRPr="00FE2A45">
        <w:rPr>
          <w:rFonts w:ascii="Garamond" w:hAnsi="Garamond"/>
          <w:szCs w:val="24"/>
        </w:rPr>
        <w:t>Sepuluh</w:t>
      </w:r>
      <w:proofErr w:type="spellEnd"/>
      <w:r w:rsidRPr="00FE2A45">
        <w:rPr>
          <w:rFonts w:ascii="Garamond" w:hAnsi="Garamond"/>
          <w:szCs w:val="24"/>
        </w:rPr>
        <w:t xml:space="preserve"> </w:t>
      </w:r>
      <w:proofErr w:type="spellStart"/>
      <w:r w:rsidRPr="00FE2A45">
        <w:rPr>
          <w:rFonts w:ascii="Garamond" w:hAnsi="Garamond"/>
          <w:szCs w:val="24"/>
        </w:rPr>
        <w:t>Nopember</w:t>
      </w:r>
      <w:proofErr w:type="spellEnd"/>
      <w:r w:rsidRPr="00FE2A45">
        <w:rPr>
          <w:rFonts w:ascii="Garamond" w:hAnsi="Garamond"/>
          <w:szCs w:val="24"/>
        </w:rPr>
        <w:t xml:space="preserve"> Institute of Technology.</w:t>
      </w:r>
    </w:p>
    <w:p w:rsidR="00FE2A45" w:rsidRDefault="00FE2A45" w:rsidP="005D703A">
      <w:pPr>
        <w:numPr>
          <w:ilvl w:val="0"/>
          <w:numId w:val="2"/>
        </w:numPr>
        <w:pBdr>
          <w:top w:val="nil"/>
          <w:left w:val="nil"/>
          <w:bottom w:val="nil"/>
          <w:right w:val="nil"/>
          <w:between w:val="nil"/>
        </w:pBdr>
        <w:tabs>
          <w:tab w:val="left" w:pos="567"/>
        </w:tabs>
        <w:spacing w:line="276" w:lineRule="auto"/>
        <w:ind w:left="567" w:hanging="567"/>
        <w:jc w:val="both"/>
        <w:rPr>
          <w:rFonts w:ascii="Garamond" w:hAnsi="Garamond"/>
          <w:szCs w:val="24"/>
        </w:rPr>
      </w:pPr>
      <w:r w:rsidRPr="00FE2A45">
        <w:rPr>
          <w:rFonts w:ascii="Garamond" w:hAnsi="Garamond"/>
          <w:szCs w:val="24"/>
        </w:rPr>
        <w:t xml:space="preserve">Dang, V. K., et al. (2014). New Orleans Subsidence Caused by Rapid Urban Development in the Hanoi Region (Vietnam) using ALOS </w:t>
      </w:r>
      <w:proofErr w:type="spellStart"/>
      <w:r w:rsidRPr="00FE2A45">
        <w:rPr>
          <w:rFonts w:ascii="Garamond" w:hAnsi="Garamond"/>
          <w:szCs w:val="24"/>
        </w:rPr>
        <w:t>InSAR</w:t>
      </w:r>
      <w:proofErr w:type="spellEnd"/>
      <w:r w:rsidRPr="00FE2A45">
        <w:rPr>
          <w:rFonts w:ascii="Garamond" w:hAnsi="Garamond"/>
          <w:szCs w:val="24"/>
        </w:rPr>
        <w:t xml:space="preserve"> Data. Natural Hazard and Earth System Science, 14, 657–674.</w:t>
      </w:r>
    </w:p>
    <w:p w:rsidR="00FE2A45" w:rsidRDefault="00FE2A45" w:rsidP="005D703A">
      <w:pPr>
        <w:numPr>
          <w:ilvl w:val="0"/>
          <w:numId w:val="2"/>
        </w:numPr>
        <w:pBdr>
          <w:top w:val="nil"/>
          <w:left w:val="nil"/>
          <w:bottom w:val="nil"/>
          <w:right w:val="nil"/>
          <w:between w:val="nil"/>
        </w:pBdr>
        <w:tabs>
          <w:tab w:val="left" w:pos="567"/>
        </w:tabs>
        <w:spacing w:line="276" w:lineRule="auto"/>
        <w:ind w:left="567" w:hanging="567"/>
        <w:jc w:val="both"/>
        <w:rPr>
          <w:rFonts w:ascii="Garamond" w:hAnsi="Garamond"/>
          <w:szCs w:val="24"/>
        </w:rPr>
      </w:pPr>
      <w:proofErr w:type="spellStart"/>
      <w:r w:rsidRPr="00FE2A45">
        <w:rPr>
          <w:rFonts w:ascii="Garamond" w:hAnsi="Garamond"/>
          <w:szCs w:val="24"/>
        </w:rPr>
        <w:t>Mochammad</w:t>
      </w:r>
      <w:proofErr w:type="spellEnd"/>
      <w:r w:rsidRPr="00FE2A45">
        <w:rPr>
          <w:rFonts w:ascii="Garamond" w:hAnsi="Garamond"/>
          <w:szCs w:val="24"/>
        </w:rPr>
        <w:t xml:space="preserve">, M., &amp; </w:t>
      </w:r>
      <w:proofErr w:type="spellStart"/>
      <w:r w:rsidRPr="00FE2A45">
        <w:rPr>
          <w:rFonts w:ascii="Garamond" w:hAnsi="Garamond"/>
          <w:szCs w:val="24"/>
        </w:rPr>
        <w:t>Saepuloh</w:t>
      </w:r>
      <w:proofErr w:type="spellEnd"/>
      <w:r w:rsidRPr="00FE2A45">
        <w:rPr>
          <w:rFonts w:ascii="Garamond" w:hAnsi="Garamond"/>
          <w:szCs w:val="24"/>
        </w:rPr>
        <w:t xml:space="preserve">, A. (2017). Analysis of Surface Deformation with the SBAS </w:t>
      </w:r>
      <w:proofErr w:type="spellStart"/>
      <w:r w:rsidRPr="00FE2A45">
        <w:rPr>
          <w:rFonts w:ascii="Garamond" w:hAnsi="Garamond"/>
          <w:szCs w:val="24"/>
        </w:rPr>
        <w:t>InSAR</w:t>
      </w:r>
      <w:proofErr w:type="spellEnd"/>
      <w:r w:rsidRPr="00FE2A45">
        <w:rPr>
          <w:rFonts w:ascii="Garamond" w:hAnsi="Garamond"/>
          <w:szCs w:val="24"/>
        </w:rPr>
        <w:t xml:space="preserve"> Method and Its Correlation with Aquifer Occurrence in Surabaya City, East Java, Indonesia. IOP Conference Series.</w:t>
      </w:r>
    </w:p>
    <w:p w:rsidR="00FE2A45" w:rsidRDefault="00FE2A45" w:rsidP="005D703A">
      <w:pPr>
        <w:numPr>
          <w:ilvl w:val="0"/>
          <w:numId w:val="2"/>
        </w:numPr>
        <w:pBdr>
          <w:top w:val="nil"/>
          <w:left w:val="nil"/>
          <w:bottom w:val="nil"/>
          <w:right w:val="nil"/>
          <w:between w:val="nil"/>
        </w:pBdr>
        <w:tabs>
          <w:tab w:val="left" w:pos="567"/>
        </w:tabs>
        <w:spacing w:line="276" w:lineRule="auto"/>
        <w:ind w:left="567" w:hanging="567"/>
        <w:jc w:val="both"/>
        <w:rPr>
          <w:rFonts w:ascii="Garamond" w:hAnsi="Garamond"/>
          <w:szCs w:val="24"/>
        </w:rPr>
      </w:pPr>
      <w:r w:rsidRPr="00FE2A45">
        <w:rPr>
          <w:rFonts w:ascii="Garamond" w:hAnsi="Garamond"/>
          <w:szCs w:val="24"/>
        </w:rPr>
        <w:t>Zhou, L., et al. (2017). Wuhan Surface Subsidence Analysis in 2015–2016 Based on Sentinel-1A Data by SBAS-</w:t>
      </w:r>
      <w:proofErr w:type="spellStart"/>
      <w:r w:rsidRPr="00FE2A45">
        <w:rPr>
          <w:rFonts w:ascii="Garamond" w:hAnsi="Garamond"/>
          <w:szCs w:val="24"/>
        </w:rPr>
        <w:t>InSAR</w:t>
      </w:r>
      <w:proofErr w:type="spellEnd"/>
      <w:r w:rsidRPr="00FE2A45">
        <w:rPr>
          <w:rFonts w:ascii="Garamond" w:hAnsi="Garamond"/>
          <w:szCs w:val="24"/>
        </w:rPr>
        <w:t>. Remote Sensing, 8, 982.</w:t>
      </w:r>
    </w:p>
    <w:p w:rsidR="00474D14" w:rsidRDefault="00474D14" w:rsidP="005D703A">
      <w:pPr>
        <w:numPr>
          <w:ilvl w:val="0"/>
          <w:numId w:val="2"/>
        </w:numPr>
        <w:pBdr>
          <w:top w:val="nil"/>
          <w:left w:val="nil"/>
          <w:bottom w:val="nil"/>
          <w:right w:val="nil"/>
          <w:between w:val="nil"/>
        </w:pBdr>
        <w:tabs>
          <w:tab w:val="left" w:pos="567"/>
        </w:tabs>
        <w:spacing w:line="276" w:lineRule="auto"/>
        <w:ind w:left="567" w:hanging="567"/>
        <w:jc w:val="both"/>
        <w:rPr>
          <w:rFonts w:ascii="Garamond" w:hAnsi="Garamond"/>
          <w:szCs w:val="24"/>
        </w:rPr>
      </w:pPr>
      <w:r w:rsidRPr="008948CC">
        <w:rPr>
          <w:rFonts w:ascii="Garamond" w:hAnsi="Garamond"/>
          <w:szCs w:val="24"/>
          <w:lang w:val="de-DE"/>
        </w:rPr>
        <w:t xml:space="preserve">Purna T. Pemanfaatan Metode InSAR untuk Pemantauan Deformasi Gunung Api dan Penurunan Tanah. </w:t>
      </w:r>
      <w:r w:rsidRPr="00474D14">
        <w:rPr>
          <w:rFonts w:ascii="Garamond" w:hAnsi="Garamond"/>
          <w:szCs w:val="24"/>
        </w:rPr>
        <w:t xml:space="preserve">Bandung: Teknik </w:t>
      </w:r>
      <w:proofErr w:type="spellStart"/>
      <w:r w:rsidRPr="00474D14">
        <w:rPr>
          <w:rFonts w:ascii="Garamond" w:hAnsi="Garamond"/>
          <w:szCs w:val="24"/>
        </w:rPr>
        <w:t>Geodesi</w:t>
      </w:r>
      <w:proofErr w:type="spellEnd"/>
      <w:r w:rsidRPr="00474D14">
        <w:rPr>
          <w:rFonts w:ascii="Garamond" w:hAnsi="Garamond"/>
          <w:szCs w:val="24"/>
        </w:rPr>
        <w:t xml:space="preserve"> </w:t>
      </w:r>
      <w:proofErr w:type="spellStart"/>
      <w:r w:rsidRPr="00474D14">
        <w:rPr>
          <w:rFonts w:ascii="Garamond" w:hAnsi="Garamond"/>
          <w:szCs w:val="24"/>
        </w:rPr>
        <w:t>dan</w:t>
      </w:r>
      <w:proofErr w:type="spellEnd"/>
      <w:r w:rsidRPr="00474D14">
        <w:rPr>
          <w:rFonts w:ascii="Garamond" w:hAnsi="Garamond"/>
          <w:szCs w:val="24"/>
        </w:rPr>
        <w:t xml:space="preserve"> </w:t>
      </w:r>
      <w:proofErr w:type="spellStart"/>
      <w:r w:rsidRPr="00474D14">
        <w:rPr>
          <w:rFonts w:ascii="Garamond" w:hAnsi="Garamond"/>
          <w:szCs w:val="24"/>
        </w:rPr>
        <w:t>Geomatika</w:t>
      </w:r>
      <w:proofErr w:type="spellEnd"/>
      <w:r w:rsidRPr="00474D14">
        <w:rPr>
          <w:rFonts w:ascii="Garamond" w:hAnsi="Garamond"/>
          <w:szCs w:val="24"/>
        </w:rPr>
        <w:t xml:space="preserve">, </w:t>
      </w:r>
      <w:proofErr w:type="spellStart"/>
      <w:r w:rsidRPr="00474D14">
        <w:rPr>
          <w:rFonts w:ascii="Garamond" w:hAnsi="Garamond"/>
          <w:szCs w:val="24"/>
        </w:rPr>
        <w:t>Institut</w:t>
      </w:r>
      <w:proofErr w:type="spellEnd"/>
      <w:r w:rsidRPr="00474D14">
        <w:rPr>
          <w:rFonts w:ascii="Garamond" w:hAnsi="Garamond"/>
          <w:szCs w:val="24"/>
        </w:rPr>
        <w:t xml:space="preserve"> </w:t>
      </w:r>
      <w:proofErr w:type="spellStart"/>
      <w:r w:rsidRPr="00474D14">
        <w:rPr>
          <w:rFonts w:ascii="Garamond" w:hAnsi="Garamond"/>
          <w:szCs w:val="24"/>
        </w:rPr>
        <w:t>Teknologi</w:t>
      </w:r>
      <w:proofErr w:type="spellEnd"/>
      <w:r w:rsidRPr="00474D14">
        <w:rPr>
          <w:rFonts w:ascii="Garamond" w:hAnsi="Garamond"/>
          <w:szCs w:val="24"/>
        </w:rPr>
        <w:t xml:space="preserve"> Bandung. 2009.</w:t>
      </w:r>
    </w:p>
    <w:p w:rsidR="00474D14" w:rsidRDefault="00474D14" w:rsidP="005D703A">
      <w:pPr>
        <w:numPr>
          <w:ilvl w:val="0"/>
          <w:numId w:val="2"/>
        </w:numPr>
        <w:pBdr>
          <w:top w:val="nil"/>
          <w:left w:val="nil"/>
          <w:bottom w:val="nil"/>
          <w:right w:val="nil"/>
          <w:between w:val="nil"/>
        </w:pBdr>
        <w:tabs>
          <w:tab w:val="left" w:pos="567"/>
        </w:tabs>
        <w:spacing w:line="276" w:lineRule="auto"/>
        <w:ind w:left="567" w:hanging="567"/>
        <w:jc w:val="both"/>
        <w:rPr>
          <w:rFonts w:ascii="Garamond" w:hAnsi="Garamond"/>
          <w:szCs w:val="24"/>
        </w:rPr>
      </w:pPr>
      <w:r w:rsidRPr="00474D14">
        <w:rPr>
          <w:rFonts w:ascii="Garamond" w:hAnsi="Garamond"/>
          <w:szCs w:val="24"/>
        </w:rPr>
        <w:lastRenderedPageBreak/>
        <w:t xml:space="preserve">Setiawan B, Akbar GDPN, </w:t>
      </w:r>
      <w:proofErr w:type="spellStart"/>
      <w:r w:rsidRPr="00474D14">
        <w:rPr>
          <w:rFonts w:ascii="Garamond" w:hAnsi="Garamond"/>
          <w:szCs w:val="24"/>
        </w:rPr>
        <w:t>Suyeda</w:t>
      </w:r>
      <w:proofErr w:type="spellEnd"/>
      <w:r w:rsidRPr="00474D14">
        <w:rPr>
          <w:rFonts w:ascii="Garamond" w:hAnsi="Garamond"/>
          <w:szCs w:val="24"/>
        </w:rPr>
        <w:t xml:space="preserve"> FD, </w:t>
      </w:r>
      <w:proofErr w:type="spellStart"/>
      <w:r w:rsidRPr="00474D14">
        <w:rPr>
          <w:rFonts w:ascii="Garamond" w:hAnsi="Garamond"/>
          <w:szCs w:val="24"/>
        </w:rPr>
        <w:t>Permana</w:t>
      </w:r>
      <w:proofErr w:type="spellEnd"/>
      <w:r w:rsidRPr="00474D14">
        <w:rPr>
          <w:rFonts w:ascii="Garamond" w:hAnsi="Garamond"/>
          <w:szCs w:val="24"/>
        </w:rPr>
        <w:t xml:space="preserve"> R. Analisa land subsidence </w:t>
      </w:r>
      <w:proofErr w:type="spellStart"/>
      <w:r w:rsidRPr="00474D14">
        <w:rPr>
          <w:rFonts w:ascii="Garamond" w:hAnsi="Garamond"/>
          <w:szCs w:val="24"/>
        </w:rPr>
        <w:t>dengan</w:t>
      </w:r>
      <w:proofErr w:type="spellEnd"/>
      <w:r w:rsidRPr="00474D14">
        <w:rPr>
          <w:rFonts w:ascii="Garamond" w:hAnsi="Garamond"/>
          <w:szCs w:val="24"/>
        </w:rPr>
        <w:t xml:space="preserve"> </w:t>
      </w:r>
      <w:proofErr w:type="spellStart"/>
      <w:r w:rsidRPr="00474D14">
        <w:rPr>
          <w:rFonts w:ascii="Garamond" w:hAnsi="Garamond"/>
          <w:szCs w:val="24"/>
        </w:rPr>
        <w:t>metoda</w:t>
      </w:r>
      <w:proofErr w:type="spellEnd"/>
      <w:r w:rsidRPr="00474D14">
        <w:rPr>
          <w:rFonts w:ascii="Garamond" w:hAnsi="Garamond"/>
          <w:szCs w:val="24"/>
        </w:rPr>
        <w:t xml:space="preserve"> </w:t>
      </w:r>
      <w:proofErr w:type="spellStart"/>
      <w:r w:rsidRPr="00474D14">
        <w:rPr>
          <w:rFonts w:ascii="Garamond" w:hAnsi="Garamond"/>
          <w:szCs w:val="24"/>
        </w:rPr>
        <w:t>DInSAR</w:t>
      </w:r>
      <w:proofErr w:type="spellEnd"/>
      <w:r w:rsidRPr="00474D14">
        <w:rPr>
          <w:rFonts w:ascii="Garamond" w:hAnsi="Garamond"/>
          <w:szCs w:val="24"/>
        </w:rPr>
        <w:t xml:space="preserve"> di </w:t>
      </w:r>
      <w:proofErr w:type="spellStart"/>
      <w:r w:rsidRPr="00474D14">
        <w:rPr>
          <w:rFonts w:ascii="Garamond" w:hAnsi="Garamond"/>
          <w:szCs w:val="24"/>
        </w:rPr>
        <w:t>kawasan</w:t>
      </w:r>
      <w:proofErr w:type="spellEnd"/>
      <w:r w:rsidRPr="00474D14">
        <w:rPr>
          <w:rFonts w:ascii="Garamond" w:hAnsi="Garamond"/>
          <w:szCs w:val="24"/>
        </w:rPr>
        <w:t xml:space="preserve"> </w:t>
      </w:r>
      <w:proofErr w:type="spellStart"/>
      <w:r w:rsidRPr="00474D14">
        <w:rPr>
          <w:rFonts w:ascii="Garamond" w:hAnsi="Garamond"/>
          <w:szCs w:val="24"/>
        </w:rPr>
        <w:t>geowisata</w:t>
      </w:r>
      <w:proofErr w:type="spellEnd"/>
      <w:r w:rsidRPr="00474D14">
        <w:rPr>
          <w:rFonts w:ascii="Garamond" w:hAnsi="Garamond"/>
          <w:szCs w:val="24"/>
        </w:rPr>
        <w:t xml:space="preserve"> </w:t>
      </w:r>
      <w:proofErr w:type="spellStart"/>
      <w:r w:rsidRPr="00474D14">
        <w:rPr>
          <w:rFonts w:ascii="Garamond" w:hAnsi="Garamond"/>
          <w:szCs w:val="24"/>
        </w:rPr>
        <w:t>Muara</w:t>
      </w:r>
      <w:proofErr w:type="spellEnd"/>
      <w:r w:rsidRPr="00474D14">
        <w:rPr>
          <w:rFonts w:ascii="Garamond" w:hAnsi="Garamond"/>
          <w:szCs w:val="24"/>
        </w:rPr>
        <w:t xml:space="preserve"> </w:t>
      </w:r>
      <w:proofErr w:type="spellStart"/>
      <w:r w:rsidRPr="00474D14">
        <w:rPr>
          <w:rFonts w:ascii="Garamond" w:hAnsi="Garamond"/>
          <w:szCs w:val="24"/>
        </w:rPr>
        <w:t>Dua</w:t>
      </w:r>
      <w:proofErr w:type="spellEnd"/>
      <w:r w:rsidRPr="00474D14">
        <w:rPr>
          <w:rFonts w:ascii="Garamond" w:hAnsi="Garamond"/>
          <w:szCs w:val="24"/>
        </w:rPr>
        <w:t xml:space="preserve"> </w:t>
      </w:r>
      <w:proofErr w:type="spellStart"/>
      <w:r w:rsidRPr="00474D14">
        <w:rPr>
          <w:rFonts w:ascii="Garamond" w:hAnsi="Garamond"/>
          <w:szCs w:val="24"/>
        </w:rPr>
        <w:t>Kabupaten</w:t>
      </w:r>
      <w:proofErr w:type="spellEnd"/>
      <w:r w:rsidRPr="00474D14">
        <w:rPr>
          <w:rFonts w:ascii="Garamond" w:hAnsi="Garamond"/>
          <w:szCs w:val="24"/>
        </w:rPr>
        <w:t xml:space="preserve"> Oku Selatan. Seminar Nasional </w:t>
      </w:r>
      <w:proofErr w:type="spellStart"/>
      <w:r w:rsidRPr="00474D14">
        <w:rPr>
          <w:rFonts w:ascii="Garamond" w:hAnsi="Garamond"/>
          <w:szCs w:val="24"/>
        </w:rPr>
        <w:t>AVoER</w:t>
      </w:r>
      <w:proofErr w:type="spellEnd"/>
      <w:r w:rsidRPr="00474D14">
        <w:rPr>
          <w:rFonts w:ascii="Garamond" w:hAnsi="Garamond"/>
          <w:szCs w:val="24"/>
        </w:rPr>
        <w:t xml:space="preserve"> XIV. 2022;1:294–300.</w:t>
      </w:r>
    </w:p>
    <w:p w:rsidR="00474D14" w:rsidRDefault="00474D14" w:rsidP="005D703A">
      <w:pPr>
        <w:numPr>
          <w:ilvl w:val="0"/>
          <w:numId w:val="2"/>
        </w:numPr>
        <w:pBdr>
          <w:top w:val="nil"/>
          <w:left w:val="nil"/>
          <w:bottom w:val="nil"/>
          <w:right w:val="nil"/>
          <w:between w:val="nil"/>
        </w:pBdr>
        <w:tabs>
          <w:tab w:val="left" w:pos="567"/>
        </w:tabs>
        <w:spacing w:line="276" w:lineRule="auto"/>
        <w:ind w:left="567" w:hanging="567"/>
        <w:jc w:val="both"/>
        <w:rPr>
          <w:rFonts w:ascii="Garamond" w:hAnsi="Garamond"/>
          <w:szCs w:val="24"/>
        </w:rPr>
      </w:pPr>
      <w:r w:rsidRPr="00474D14">
        <w:rPr>
          <w:rFonts w:ascii="Garamond" w:hAnsi="Garamond"/>
          <w:szCs w:val="24"/>
        </w:rPr>
        <w:t>Hanssen RF. Radar Interferometry. Data Interpretation and Error Analysis. Kluwer Academic Publishers. The Netherlands: Delft University of Technology. 2001.</w:t>
      </w:r>
    </w:p>
    <w:p w:rsidR="00474D14" w:rsidRDefault="00474D14" w:rsidP="005D703A">
      <w:pPr>
        <w:numPr>
          <w:ilvl w:val="0"/>
          <w:numId w:val="2"/>
        </w:numPr>
        <w:pBdr>
          <w:top w:val="nil"/>
          <w:left w:val="nil"/>
          <w:bottom w:val="nil"/>
          <w:right w:val="nil"/>
          <w:between w:val="nil"/>
        </w:pBdr>
        <w:tabs>
          <w:tab w:val="left" w:pos="567"/>
        </w:tabs>
        <w:spacing w:line="276" w:lineRule="auto"/>
        <w:ind w:left="567" w:hanging="567"/>
        <w:jc w:val="both"/>
        <w:rPr>
          <w:rFonts w:ascii="Garamond" w:hAnsi="Garamond"/>
          <w:szCs w:val="24"/>
        </w:rPr>
      </w:pPr>
      <w:r w:rsidRPr="00474D14">
        <w:rPr>
          <w:rFonts w:ascii="Garamond" w:hAnsi="Garamond"/>
          <w:szCs w:val="24"/>
        </w:rPr>
        <w:t>ESA. Sentinel1 User Handbook</w:t>
      </w:r>
      <w:r w:rsidR="005A0B7E">
        <w:rPr>
          <w:rFonts w:ascii="Garamond" w:hAnsi="Garamond"/>
          <w:szCs w:val="24"/>
        </w:rPr>
        <w:t>, [Online].</w:t>
      </w:r>
    </w:p>
    <w:p w:rsidR="005A0B7E" w:rsidRDefault="005A0B7E" w:rsidP="005D703A">
      <w:pPr>
        <w:numPr>
          <w:ilvl w:val="0"/>
          <w:numId w:val="2"/>
        </w:numPr>
        <w:pBdr>
          <w:top w:val="nil"/>
          <w:left w:val="nil"/>
          <w:bottom w:val="nil"/>
          <w:right w:val="nil"/>
          <w:between w:val="nil"/>
        </w:pBdr>
        <w:tabs>
          <w:tab w:val="left" w:pos="567"/>
        </w:tabs>
        <w:spacing w:line="276" w:lineRule="auto"/>
        <w:ind w:left="567" w:hanging="567"/>
        <w:jc w:val="both"/>
        <w:rPr>
          <w:rFonts w:ascii="Garamond" w:hAnsi="Garamond"/>
          <w:szCs w:val="24"/>
        </w:rPr>
      </w:pPr>
      <w:r w:rsidRPr="005A0B7E">
        <w:rPr>
          <w:rFonts w:ascii="Garamond" w:hAnsi="Garamond"/>
          <w:szCs w:val="24"/>
        </w:rPr>
        <w:t xml:space="preserve">Elachi C, Zyl JV. Introduction to the Physics and Techniques of Remote Sensing. </w:t>
      </w:r>
      <w:r>
        <w:rPr>
          <w:rFonts w:ascii="Garamond" w:hAnsi="Garamond"/>
          <w:szCs w:val="24"/>
        </w:rPr>
        <w:t>In</w:t>
      </w:r>
      <w:r w:rsidRPr="005A0B7E">
        <w:rPr>
          <w:rFonts w:ascii="Garamond" w:hAnsi="Garamond"/>
          <w:szCs w:val="24"/>
        </w:rPr>
        <w:t xml:space="preserve">: </w:t>
      </w:r>
      <w:proofErr w:type="spellStart"/>
      <w:r w:rsidRPr="005A0B7E">
        <w:rPr>
          <w:rFonts w:cs="Times New Roman"/>
          <w:szCs w:val="24"/>
        </w:rPr>
        <w:t>منشورات</w:t>
      </w:r>
      <w:proofErr w:type="spellEnd"/>
      <w:r w:rsidRPr="005A0B7E">
        <w:rPr>
          <w:rFonts w:ascii="Garamond" w:hAnsi="Garamond"/>
          <w:szCs w:val="24"/>
        </w:rPr>
        <w:t xml:space="preserve"> </w:t>
      </w:r>
      <w:proofErr w:type="spellStart"/>
      <w:r w:rsidRPr="005A0B7E">
        <w:rPr>
          <w:rFonts w:cs="Times New Roman"/>
          <w:szCs w:val="24"/>
        </w:rPr>
        <w:t>جامعة</w:t>
      </w:r>
      <w:proofErr w:type="spellEnd"/>
      <w:r w:rsidRPr="005A0B7E">
        <w:rPr>
          <w:rFonts w:ascii="Garamond" w:hAnsi="Garamond"/>
          <w:szCs w:val="24"/>
        </w:rPr>
        <w:t xml:space="preserve"> </w:t>
      </w:r>
      <w:proofErr w:type="spellStart"/>
      <w:r w:rsidRPr="005A0B7E">
        <w:rPr>
          <w:rFonts w:cs="Times New Roman"/>
          <w:szCs w:val="24"/>
        </w:rPr>
        <w:t>دمشق</w:t>
      </w:r>
      <w:proofErr w:type="spellEnd"/>
      <w:r w:rsidRPr="005A0B7E">
        <w:rPr>
          <w:rFonts w:ascii="Garamond" w:hAnsi="Garamond"/>
          <w:szCs w:val="24"/>
        </w:rPr>
        <w:t>; 2006</w:t>
      </w:r>
    </w:p>
    <w:p w:rsidR="00815981" w:rsidRPr="00815981" w:rsidRDefault="00431EC6" w:rsidP="00815981">
      <w:pPr>
        <w:numPr>
          <w:ilvl w:val="0"/>
          <w:numId w:val="2"/>
        </w:numPr>
        <w:pBdr>
          <w:top w:val="nil"/>
          <w:left w:val="nil"/>
          <w:bottom w:val="nil"/>
          <w:right w:val="nil"/>
          <w:between w:val="nil"/>
        </w:pBdr>
        <w:tabs>
          <w:tab w:val="left" w:pos="567"/>
        </w:tabs>
        <w:spacing w:line="276" w:lineRule="auto"/>
        <w:ind w:left="567" w:hanging="567"/>
        <w:jc w:val="both"/>
        <w:rPr>
          <w:rFonts w:ascii="Garamond" w:hAnsi="Garamond"/>
          <w:szCs w:val="24"/>
        </w:rPr>
      </w:pPr>
      <w:proofErr w:type="spellStart"/>
      <w:r w:rsidRPr="00431EC6">
        <w:rPr>
          <w:rFonts w:ascii="Garamond" w:hAnsi="Garamond"/>
          <w:szCs w:val="24"/>
        </w:rPr>
        <w:t>Ramadhanis</w:t>
      </w:r>
      <w:proofErr w:type="spellEnd"/>
      <w:r w:rsidRPr="00431EC6">
        <w:rPr>
          <w:rFonts w:ascii="Garamond" w:hAnsi="Garamond"/>
          <w:szCs w:val="24"/>
        </w:rPr>
        <w:t xml:space="preserve"> Z, </w:t>
      </w:r>
      <w:proofErr w:type="spellStart"/>
      <w:r w:rsidRPr="00431EC6">
        <w:rPr>
          <w:rFonts w:ascii="Garamond" w:hAnsi="Garamond"/>
          <w:szCs w:val="24"/>
        </w:rPr>
        <w:t>Prasetyo</w:t>
      </w:r>
      <w:proofErr w:type="spellEnd"/>
      <w:r w:rsidRPr="00431EC6">
        <w:rPr>
          <w:rFonts w:ascii="Garamond" w:hAnsi="Garamond"/>
          <w:szCs w:val="24"/>
        </w:rPr>
        <w:t xml:space="preserve"> Y, </w:t>
      </w:r>
      <w:proofErr w:type="spellStart"/>
      <w:r w:rsidRPr="00431EC6">
        <w:rPr>
          <w:rFonts w:ascii="Garamond" w:hAnsi="Garamond"/>
          <w:szCs w:val="24"/>
        </w:rPr>
        <w:t>Yuwono</w:t>
      </w:r>
      <w:proofErr w:type="spellEnd"/>
      <w:r w:rsidRPr="00431EC6">
        <w:rPr>
          <w:rFonts w:ascii="Garamond" w:hAnsi="Garamond"/>
          <w:szCs w:val="24"/>
        </w:rPr>
        <w:t xml:space="preserve"> BD. Spatial Correlation Analysis of the Impact of Land Subsidence on Flooding in Jakarta. J Geodesy UNDIP. 2017;6(3).</w:t>
      </w:r>
    </w:p>
    <w:p w:rsidR="00815981" w:rsidRPr="0002565F" w:rsidRDefault="00815981" w:rsidP="00815981">
      <w:pPr>
        <w:numPr>
          <w:ilvl w:val="0"/>
          <w:numId w:val="2"/>
        </w:numPr>
        <w:pBdr>
          <w:top w:val="nil"/>
          <w:left w:val="nil"/>
          <w:bottom w:val="nil"/>
          <w:right w:val="nil"/>
          <w:between w:val="nil"/>
        </w:pBdr>
        <w:tabs>
          <w:tab w:val="left" w:pos="567"/>
        </w:tabs>
        <w:spacing w:line="276" w:lineRule="auto"/>
        <w:ind w:left="567" w:hanging="567"/>
        <w:jc w:val="both"/>
        <w:rPr>
          <w:rFonts w:ascii="Garamond" w:hAnsi="Garamond"/>
          <w:szCs w:val="24"/>
        </w:rPr>
      </w:pPr>
      <w:proofErr w:type="spellStart"/>
      <w:r w:rsidRPr="00815981">
        <w:rPr>
          <w:rFonts w:ascii="Garamond" w:hAnsi="Garamond"/>
          <w:szCs w:val="24"/>
        </w:rPr>
        <w:t>Minardi</w:t>
      </w:r>
      <w:proofErr w:type="spellEnd"/>
      <w:r w:rsidRPr="00815981">
        <w:rPr>
          <w:rFonts w:ascii="Garamond" w:hAnsi="Garamond"/>
          <w:szCs w:val="24"/>
        </w:rPr>
        <w:t xml:space="preserve"> S, </w:t>
      </w:r>
      <w:proofErr w:type="spellStart"/>
      <w:r w:rsidRPr="00815981">
        <w:rPr>
          <w:rFonts w:ascii="Garamond" w:hAnsi="Garamond"/>
          <w:szCs w:val="24"/>
        </w:rPr>
        <w:t>Hiden</w:t>
      </w:r>
      <w:proofErr w:type="spellEnd"/>
      <w:r w:rsidRPr="00815981">
        <w:rPr>
          <w:rFonts w:ascii="Garamond" w:hAnsi="Garamond"/>
          <w:szCs w:val="24"/>
        </w:rPr>
        <w:t xml:space="preserve">, </w:t>
      </w:r>
      <w:proofErr w:type="spellStart"/>
      <w:r w:rsidRPr="00815981">
        <w:rPr>
          <w:rFonts w:ascii="Garamond" w:hAnsi="Garamond"/>
          <w:szCs w:val="24"/>
        </w:rPr>
        <w:t>Dahrin</w:t>
      </w:r>
      <w:proofErr w:type="spellEnd"/>
      <w:r w:rsidRPr="00815981">
        <w:rPr>
          <w:rFonts w:ascii="Garamond" w:hAnsi="Garamond"/>
          <w:szCs w:val="24"/>
        </w:rPr>
        <w:t xml:space="preserve"> D, Yusuf M. Analysis of Groundwater Depletion and Land Subsidence Using Microgravity and Vertical Gradient Methods Over Time: A Case Study in Jakarta. </w:t>
      </w:r>
      <w:proofErr w:type="spellStart"/>
      <w:r w:rsidRPr="00815981">
        <w:rPr>
          <w:rFonts w:ascii="Garamond" w:hAnsi="Garamond"/>
          <w:szCs w:val="24"/>
        </w:rPr>
        <w:t>Jurnal</w:t>
      </w:r>
      <w:proofErr w:type="spellEnd"/>
      <w:r w:rsidRPr="00815981">
        <w:rPr>
          <w:rFonts w:ascii="Garamond" w:hAnsi="Garamond"/>
          <w:szCs w:val="24"/>
        </w:rPr>
        <w:t xml:space="preserve"> </w:t>
      </w:r>
      <w:proofErr w:type="spellStart"/>
      <w:r w:rsidRPr="00815981">
        <w:rPr>
          <w:rFonts w:ascii="Garamond" w:hAnsi="Garamond"/>
          <w:szCs w:val="24"/>
        </w:rPr>
        <w:t>Ilmu</w:t>
      </w:r>
      <w:proofErr w:type="spellEnd"/>
      <w:r w:rsidRPr="00815981">
        <w:rPr>
          <w:rFonts w:ascii="Garamond" w:hAnsi="Garamond"/>
          <w:szCs w:val="24"/>
        </w:rPr>
        <w:t xml:space="preserve"> Dasar. 2014;15(1).</w:t>
      </w:r>
    </w:p>
    <w:p w:rsidR="005D703A" w:rsidRPr="0002565F" w:rsidRDefault="005D703A" w:rsidP="0002565F">
      <w:pPr>
        <w:pBdr>
          <w:top w:val="nil"/>
          <w:left w:val="nil"/>
          <w:bottom w:val="nil"/>
          <w:right w:val="nil"/>
          <w:between w:val="nil"/>
        </w:pBdr>
        <w:tabs>
          <w:tab w:val="left" w:pos="567"/>
        </w:tabs>
        <w:spacing w:line="276" w:lineRule="auto"/>
        <w:ind w:left="567"/>
        <w:jc w:val="both"/>
        <w:rPr>
          <w:rFonts w:ascii="Garamond" w:eastAsia="Garamond" w:hAnsi="Garamond" w:cs="Garamond"/>
          <w:color w:val="000000"/>
          <w:szCs w:val="24"/>
        </w:rPr>
      </w:pPr>
    </w:p>
    <w:sectPr w:rsidR="005D703A" w:rsidRPr="0002565F">
      <w:type w:val="continuous"/>
      <w:pgSz w:w="11907" w:h="16840"/>
      <w:pgMar w:top="1701" w:right="1134" w:bottom="1418" w:left="1701" w:header="698" w:footer="91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65F8" w:rsidRDefault="000065F8">
      <w:pPr>
        <w:spacing w:after="0" w:line="240" w:lineRule="auto"/>
      </w:pPr>
      <w:r>
        <w:separator/>
      </w:r>
    </w:p>
  </w:endnote>
  <w:endnote w:type="continuationSeparator" w:id="0">
    <w:p w:rsidR="000065F8" w:rsidRDefault="000065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00000003" w:usb1="00000000" w:usb2="00000000" w:usb3="00000000" w:csb0="00000001" w:csb1="00000000"/>
  </w:font>
  <w:font w:name="Times">
    <w:panose1 w:val="00000500000000020000"/>
    <w:charset w:val="00"/>
    <w:family w:val="auto"/>
    <w:pitch w:val="variable"/>
    <w:sig w:usb0="E00002FF" w:usb1="5000205A" w:usb2="00000000" w:usb3="00000000" w:csb0="000001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EB Garamond">
    <w:altName w:val="Times New Roman"/>
    <w:panose1 w:val="020B0604020202020204"/>
    <w:charset w:val="00"/>
    <w:family w:val="auto"/>
    <w:pitch w:val="variable"/>
    <w:sig w:usb0="E00002FF" w:usb1="0200041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61C9" w:rsidRDefault="00FB61C9">
    <w:pPr>
      <w:pBdr>
        <w:top w:val="nil"/>
        <w:left w:val="nil"/>
        <w:bottom w:val="nil"/>
        <w:right w:val="nil"/>
        <w:between w:val="nil"/>
      </w:pBdr>
      <w:tabs>
        <w:tab w:val="center" w:pos="4680"/>
        <w:tab w:val="right" w:pos="9360"/>
        <w:tab w:val="center" w:pos="3840"/>
        <w:tab w:val="right" w:pos="8880"/>
        <w:tab w:val="right" w:pos="9072"/>
      </w:tabs>
      <w:spacing w:after="0" w:line="240" w:lineRule="auto"/>
      <w:rPr>
        <w:rFonts w:ascii="Garamond" w:eastAsia="Garamond" w:hAnsi="Garamond" w:cs="Garamond"/>
        <w:color w:val="000000"/>
        <w:sz w:val="20"/>
        <w:szCs w:val="20"/>
      </w:rPr>
    </w:pPr>
  </w:p>
  <w:p w:rsidR="00FB61C9" w:rsidRDefault="00291ED8" w:rsidP="00474001">
    <w:pPr>
      <w:pBdr>
        <w:top w:val="single" w:sz="18" w:space="1" w:color="767171"/>
        <w:left w:val="nil"/>
        <w:bottom w:val="nil"/>
        <w:right w:val="nil"/>
        <w:between w:val="nil"/>
      </w:pBdr>
      <w:tabs>
        <w:tab w:val="center" w:pos="4680"/>
        <w:tab w:val="right" w:pos="9072"/>
      </w:tabs>
      <w:spacing w:after="0" w:line="240" w:lineRule="auto"/>
      <w:rPr>
        <w:rFonts w:ascii="Garamond" w:eastAsia="Garamond" w:hAnsi="Garamond" w:cs="Garamond"/>
        <w:color w:val="000000"/>
        <w:sz w:val="20"/>
        <w:szCs w:val="20"/>
      </w:rPr>
    </w:pPr>
    <w:r>
      <w:rPr>
        <w:rFonts w:ascii="Garamond" w:eastAsia="Garamond" w:hAnsi="Garamond" w:cs="Garamond"/>
        <w:color w:val="000000"/>
        <w:sz w:val="20"/>
        <w:szCs w:val="20"/>
      </w:rPr>
      <w:t xml:space="preserve"> Journal of Experimental and Applied Physics, Vol. 1, No. </w:t>
    </w:r>
    <w:r w:rsidR="00474001">
      <w:rPr>
        <w:rFonts w:ascii="Garamond" w:eastAsia="Garamond" w:hAnsi="Garamond" w:cs="Garamond"/>
        <w:color w:val="000000"/>
        <w:sz w:val="20"/>
        <w:szCs w:val="20"/>
      </w:rPr>
      <w:t>2</w:t>
    </w:r>
    <w:r>
      <w:rPr>
        <w:rFonts w:ascii="Garamond" w:eastAsia="Garamond" w:hAnsi="Garamond" w:cs="Garamond"/>
        <w:color w:val="000000"/>
        <w:sz w:val="20"/>
        <w:szCs w:val="20"/>
      </w:rPr>
      <w:t xml:space="preserve"> (2023)    </w:t>
    </w:r>
    <w:r>
      <w:rPr>
        <w:rFonts w:ascii="Garamond" w:eastAsia="Garamond" w:hAnsi="Garamond" w:cs="Garamond"/>
        <w:color w:val="000000"/>
        <w:sz w:val="20"/>
        <w:szCs w:val="20"/>
      </w:rPr>
      <w:tab/>
    </w:r>
    <w:r>
      <w:rPr>
        <w:rFonts w:ascii="Garamond" w:eastAsia="Garamond" w:hAnsi="Garamond" w:cs="Garamond"/>
        <w:color w:val="000000"/>
        <w:sz w:val="20"/>
        <w:szCs w:val="20"/>
      </w:rPr>
      <w:fldChar w:fldCharType="begin"/>
    </w:r>
    <w:r>
      <w:rPr>
        <w:rFonts w:ascii="Garamond" w:eastAsia="Garamond" w:hAnsi="Garamond" w:cs="Garamond"/>
        <w:color w:val="000000"/>
        <w:sz w:val="20"/>
        <w:szCs w:val="20"/>
      </w:rPr>
      <w:instrText>PAGE</w:instrText>
    </w:r>
    <w:r>
      <w:rPr>
        <w:rFonts w:ascii="Garamond" w:eastAsia="Garamond" w:hAnsi="Garamond" w:cs="Garamond"/>
        <w:color w:val="000000"/>
        <w:sz w:val="20"/>
        <w:szCs w:val="20"/>
      </w:rPr>
      <w:fldChar w:fldCharType="separate"/>
    </w:r>
    <w:r w:rsidR="00784380">
      <w:rPr>
        <w:rFonts w:ascii="Garamond" w:eastAsia="Garamond" w:hAnsi="Garamond" w:cs="Garamond"/>
        <w:noProof/>
        <w:color w:val="000000"/>
        <w:sz w:val="20"/>
        <w:szCs w:val="20"/>
      </w:rPr>
      <w:t>10</w:t>
    </w:r>
    <w:r>
      <w:rPr>
        <w:rFonts w:ascii="Garamond" w:eastAsia="Garamond" w:hAnsi="Garamond" w:cs="Garamond"/>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61C9" w:rsidRDefault="00FB61C9">
    <w:pPr>
      <w:pBdr>
        <w:top w:val="nil"/>
        <w:left w:val="nil"/>
        <w:bottom w:val="nil"/>
        <w:right w:val="nil"/>
        <w:between w:val="nil"/>
      </w:pBdr>
      <w:tabs>
        <w:tab w:val="center" w:pos="4680"/>
        <w:tab w:val="right" w:pos="9360"/>
        <w:tab w:val="center" w:pos="3840"/>
        <w:tab w:val="right" w:pos="8880"/>
        <w:tab w:val="right" w:pos="9072"/>
      </w:tabs>
      <w:spacing w:after="0" w:line="240" w:lineRule="auto"/>
      <w:rPr>
        <w:rFonts w:ascii="Garamond" w:eastAsia="Garamond" w:hAnsi="Garamond" w:cs="Garamond"/>
        <w:color w:val="000000"/>
        <w:sz w:val="20"/>
        <w:szCs w:val="20"/>
      </w:rPr>
    </w:pPr>
  </w:p>
  <w:p w:rsidR="00FB61C9" w:rsidRDefault="00FB61C9">
    <w:pPr>
      <w:pBdr>
        <w:top w:val="nil"/>
        <w:left w:val="nil"/>
        <w:bottom w:val="nil"/>
        <w:right w:val="nil"/>
        <w:between w:val="nil"/>
      </w:pBdr>
      <w:tabs>
        <w:tab w:val="center" w:pos="4680"/>
        <w:tab w:val="right" w:pos="9360"/>
        <w:tab w:val="center" w:pos="3840"/>
        <w:tab w:val="right" w:pos="8880"/>
        <w:tab w:val="right" w:pos="9072"/>
      </w:tabs>
      <w:spacing w:after="0" w:line="240" w:lineRule="auto"/>
      <w:rPr>
        <w:rFonts w:ascii="Garamond" w:eastAsia="Garamond" w:hAnsi="Garamond" w:cs="Garamond"/>
        <w:color w:val="000000"/>
        <w:sz w:val="20"/>
        <w:szCs w:val="20"/>
      </w:rPr>
    </w:pPr>
  </w:p>
  <w:p w:rsidR="00FB61C9" w:rsidRDefault="00291ED8" w:rsidP="00474001">
    <w:pPr>
      <w:pBdr>
        <w:top w:val="single" w:sz="18" w:space="1" w:color="767171"/>
        <w:left w:val="nil"/>
        <w:bottom w:val="nil"/>
        <w:right w:val="nil"/>
        <w:between w:val="nil"/>
      </w:pBdr>
      <w:tabs>
        <w:tab w:val="center" w:pos="4680"/>
        <w:tab w:val="center" w:pos="3840"/>
        <w:tab w:val="right" w:pos="9072"/>
      </w:tabs>
      <w:spacing w:after="0" w:line="240" w:lineRule="auto"/>
      <w:rPr>
        <w:rFonts w:ascii="Garamond" w:eastAsia="Garamond" w:hAnsi="Garamond" w:cs="Garamond"/>
        <w:color w:val="000000"/>
        <w:sz w:val="20"/>
        <w:szCs w:val="20"/>
      </w:rPr>
    </w:pPr>
    <w:r>
      <w:rPr>
        <w:rFonts w:ascii="Garamond" w:eastAsia="Garamond" w:hAnsi="Garamond" w:cs="Garamond"/>
        <w:color w:val="000000"/>
        <w:sz w:val="20"/>
        <w:szCs w:val="20"/>
      </w:rPr>
      <w:t xml:space="preserve"> Journal of Experimental and Applied Physics, Vol. 1, No. </w:t>
    </w:r>
    <w:r w:rsidR="00474001">
      <w:rPr>
        <w:rFonts w:ascii="Garamond" w:eastAsia="Garamond" w:hAnsi="Garamond" w:cs="Garamond"/>
        <w:color w:val="000000"/>
        <w:sz w:val="20"/>
        <w:szCs w:val="20"/>
      </w:rPr>
      <w:t>2</w:t>
    </w:r>
    <w:r>
      <w:rPr>
        <w:rFonts w:ascii="Garamond" w:eastAsia="Garamond" w:hAnsi="Garamond" w:cs="Garamond"/>
        <w:color w:val="000000"/>
        <w:sz w:val="20"/>
        <w:szCs w:val="20"/>
      </w:rPr>
      <w:t xml:space="preserve"> (2023)</w:t>
    </w:r>
    <w:r>
      <w:rPr>
        <w:rFonts w:ascii="Garamond" w:eastAsia="Garamond" w:hAnsi="Garamond" w:cs="Garamond"/>
        <w:color w:val="000000"/>
        <w:sz w:val="20"/>
        <w:szCs w:val="20"/>
      </w:rPr>
      <w:tab/>
    </w:r>
    <w:r>
      <w:rPr>
        <w:rFonts w:ascii="Garamond" w:eastAsia="Garamond" w:hAnsi="Garamond" w:cs="Garamond"/>
        <w:color w:val="000000"/>
        <w:sz w:val="20"/>
        <w:szCs w:val="20"/>
      </w:rPr>
      <w:fldChar w:fldCharType="begin"/>
    </w:r>
    <w:r>
      <w:rPr>
        <w:rFonts w:ascii="Garamond" w:eastAsia="Garamond" w:hAnsi="Garamond" w:cs="Garamond"/>
        <w:color w:val="000000"/>
        <w:sz w:val="20"/>
        <w:szCs w:val="20"/>
      </w:rPr>
      <w:instrText>PAGE</w:instrText>
    </w:r>
    <w:r>
      <w:rPr>
        <w:rFonts w:ascii="Garamond" w:eastAsia="Garamond" w:hAnsi="Garamond" w:cs="Garamond"/>
        <w:color w:val="000000"/>
        <w:sz w:val="20"/>
        <w:szCs w:val="20"/>
      </w:rPr>
      <w:fldChar w:fldCharType="separate"/>
    </w:r>
    <w:r w:rsidR="00784380">
      <w:rPr>
        <w:rFonts w:ascii="Garamond" w:eastAsia="Garamond" w:hAnsi="Garamond" w:cs="Garamond"/>
        <w:noProof/>
        <w:color w:val="000000"/>
        <w:sz w:val="20"/>
        <w:szCs w:val="20"/>
      </w:rPr>
      <w:t>11</w:t>
    </w:r>
    <w:r>
      <w:rPr>
        <w:rFonts w:ascii="Garamond" w:eastAsia="Garamond" w:hAnsi="Garamond" w:cs="Garamond"/>
        <w:color w:val="000000"/>
        <w:sz w:val="20"/>
        <w:szCs w:val="20"/>
      </w:rPr>
      <w:fldChar w:fldCharType="end"/>
    </w:r>
    <w:r>
      <w:rPr>
        <w:rFonts w:ascii="Garamond" w:eastAsia="Garamond" w:hAnsi="Garamond" w:cs="Garamond"/>
        <w:color w:val="000000"/>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61C9" w:rsidRDefault="00FB61C9">
    <w:pPr>
      <w:pBdr>
        <w:top w:val="nil"/>
        <w:left w:val="nil"/>
        <w:bottom w:val="nil"/>
        <w:right w:val="nil"/>
        <w:between w:val="nil"/>
      </w:pBdr>
      <w:tabs>
        <w:tab w:val="center" w:pos="4680"/>
        <w:tab w:val="right" w:pos="9360"/>
        <w:tab w:val="center" w:pos="3840"/>
        <w:tab w:val="right" w:pos="8880"/>
        <w:tab w:val="right" w:pos="9072"/>
      </w:tabs>
      <w:spacing w:after="0" w:line="240" w:lineRule="auto"/>
      <w:rPr>
        <w:rFonts w:ascii="EB Garamond" w:eastAsia="EB Garamond" w:hAnsi="EB Garamond" w:cs="EB Garamond"/>
        <w:color w:val="000000"/>
        <w:sz w:val="20"/>
        <w:szCs w:val="20"/>
      </w:rPr>
    </w:pPr>
  </w:p>
  <w:p w:rsidR="00FB61C9" w:rsidRDefault="00291ED8">
    <w:pPr>
      <w:pBdr>
        <w:top w:val="single" w:sz="18" w:space="1" w:color="767171"/>
        <w:left w:val="nil"/>
        <w:bottom w:val="nil"/>
        <w:right w:val="nil"/>
        <w:between w:val="nil"/>
      </w:pBdr>
      <w:tabs>
        <w:tab w:val="center" w:pos="4680"/>
        <w:tab w:val="right" w:pos="9360"/>
        <w:tab w:val="center" w:pos="3840"/>
        <w:tab w:val="right" w:pos="8880"/>
        <w:tab w:val="right" w:pos="9072"/>
      </w:tabs>
      <w:spacing w:after="0" w:line="240" w:lineRule="auto"/>
      <w:rPr>
        <w:rFonts w:ascii="Garamond" w:eastAsia="Garamond" w:hAnsi="Garamond" w:cs="Garamond"/>
        <w:color w:val="000000"/>
        <w:sz w:val="20"/>
        <w:szCs w:val="20"/>
      </w:rPr>
    </w:pPr>
    <w:r>
      <w:rPr>
        <w:rFonts w:ascii="Garamond" w:eastAsia="Garamond" w:hAnsi="Garamond" w:cs="Garamond"/>
        <w:b/>
        <w:color w:val="000000"/>
        <w:sz w:val="20"/>
        <w:szCs w:val="20"/>
      </w:rPr>
      <w:t>How to cite:</w:t>
    </w:r>
    <w:r>
      <w:rPr>
        <w:rFonts w:ascii="Garamond" w:eastAsia="Garamond" w:hAnsi="Garamond" w:cs="Garamond"/>
        <w:color w:val="000000"/>
        <w:sz w:val="20"/>
        <w:szCs w:val="20"/>
      </w:rPr>
      <w:tab/>
    </w:r>
    <w:r>
      <w:rPr>
        <w:rFonts w:ascii="Garamond" w:eastAsia="Garamond" w:hAnsi="Garamond" w:cs="Garamond"/>
        <w:color w:val="000000"/>
        <w:sz w:val="20"/>
        <w:szCs w:val="20"/>
      </w:rPr>
      <w:tab/>
    </w:r>
  </w:p>
  <w:p w:rsidR="00FB61C9" w:rsidRDefault="00474001">
    <w:pPr>
      <w:pBdr>
        <w:top w:val="single" w:sz="18" w:space="1" w:color="767171"/>
        <w:left w:val="nil"/>
        <w:bottom w:val="nil"/>
        <w:right w:val="nil"/>
        <w:between w:val="nil"/>
      </w:pBdr>
      <w:tabs>
        <w:tab w:val="center" w:pos="4680"/>
        <w:tab w:val="right" w:pos="9072"/>
        <w:tab w:val="right" w:pos="9360"/>
        <w:tab w:val="center" w:pos="3840"/>
        <w:tab w:val="right" w:pos="8880"/>
        <w:tab w:val="right" w:pos="9072"/>
      </w:tabs>
      <w:spacing w:after="0" w:line="240" w:lineRule="auto"/>
      <w:rPr>
        <w:rFonts w:ascii="Garamond" w:eastAsia="Garamond" w:hAnsi="Garamond" w:cs="Garamond"/>
        <w:color w:val="000000"/>
        <w:sz w:val="20"/>
        <w:szCs w:val="20"/>
      </w:rPr>
    </w:pPr>
    <w:proofErr w:type="spellStart"/>
    <w:r>
      <w:rPr>
        <w:rFonts w:ascii="Garamond" w:eastAsia="Garamond" w:hAnsi="Garamond" w:cs="Garamond"/>
        <w:sz w:val="20"/>
        <w:szCs w:val="20"/>
      </w:rPr>
      <w:t>Mairizwan</w:t>
    </w:r>
    <w:proofErr w:type="spellEnd"/>
    <w:r>
      <w:rPr>
        <w:rFonts w:ascii="Garamond" w:eastAsia="Garamond" w:hAnsi="Garamond" w:cs="Garamond"/>
        <w:sz w:val="20"/>
        <w:szCs w:val="20"/>
      </w:rPr>
      <w:t xml:space="preserve">, H. N. Ismail, and J. Widodo, 2023, </w:t>
    </w:r>
    <w:r w:rsidRPr="00037F0F">
      <w:rPr>
        <w:rFonts w:ascii="Garamond" w:eastAsia="Garamond" w:hAnsi="Garamond" w:cs="Garamond"/>
        <w:sz w:val="20"/>
        <w:szCs w:val="20"/>
      </w:rPr>
      <w:t xml:space="preserve">Land Subsidence Analysis Using </w:t>
    </w:r>
    <w:r>
      <w:rPr>
        <w:rFonts w:ascii="Garamond" w:eastAsia="Garamond" w:hAnsi="Garamond" w:cs="Garamond"/>
        <w:sz w:val="20"/>
        <w:szCs w:val="20"/>
      </w:rPr>
      <w:t>t</w:t>
    </w:r>
    <w:r w:rsidRPr="00037F0F">
      <w:rPr>
        <w:rFonts w:ascii="Garamond" w:eastAsia="Garamond" w:hAnsi="Garamond" w:cs="Garamond"/>
        <w:sz w:val="20"/>
        <w:szCs w:val="20"/>
      </w:rPr>
      <w:t xml:space="preserve">he </w:t>
    </w:r>
    <w:proofErr w:type="spellStart"/>
    <w:r w:rsidRPr="00037F0F">
      <w:rPr>
        <w:rFonts w:ascii="Garamond" w:eastAsia="Garamond" w:hAnsi="Garamond" w:cs="Garamond"/>
        <w:sz w:val="20"/>
        <w:szCs w:val="20"/>
      </w:rPr>
      <w:t>DinSAR</w:t>
    </w:r>
    <w:proofErr w:type="spellEnd"/>
    <w:r w:rsidRPr="00037F0F">
      <w:rPr>
        <w:rFonts w:ascii="Garamond" w:eastAsia="Garamond" w:hAnsi="Garamond" w:cs="Garamond"/>
        <w:sz w:val="20"/>
        <w:szCs w:val="20"/>
      </w:rPr>
      <w:t xml:space="preserve"> Method in Snap Application for </w:t>
    </w:r>
    <w:r>
      <w:rPr>
        <w:rFonts w:ascii="Garamond" w:eastAsia="Garamond" w:hAnsi="Garamond" w:cs="Garamond"/>
        <w:sz w:val="20"/>
        <w:szCs w:val="20"/>
      </w:rPr>
      <w:t>t</w:t>
    </w:r>
    <w:r w:rsidRPr="00037F0F">
      <w:rPr>
        <w:rFonts w:ascii="Garamond" w:eastAsia="Garamond" w:hAnsi="Garamond" w:cs="Garamond"/>
        <w:sz w:val="20"/>
        <w:szCs w:val="20"/>
      </w:rPr>
      <w:t xml:space="preserve">he 2021 </w:t>
    </w:r>
    <w:proofErr w:type="spellStart"/>
    <w:r w:rsidRPr="00037F0F">
      <w:rPr>
        <w:rFonts w:ascii="Garamond" w:eastAsia="Garamond" w:hAnsi="Garamond" w:cs="Garamond"/>
        <w:sz w:val="20"/>
        <w:szCs w:val="20"/>
      </w:rPr>
      <w:t>Periode</w:t>
    </w:r>
    <w:proofErr w:type="spellEnd"/>
    <w:r>
      <w:rPr>
        <w:rFonts w:ascii="Garamond" w:eastAsia="Garamond" w:hAnsi="Garamond" w:cs="Garamond"/>
        <w:sz w:val="20"/>
        <w:szCs w:val="20"/>
      </w:rPr>
      <w:t xml:space="preserve">, </w:t>
    </w:r>
    <w:r>
      <w:rPr>
        <w:rFonts w:ascii="Garamond" w:eastAsia="Garamond" w:hAnsi="Garamond" w:cs="Garamond"/>
        <w:i/>
        <w:sz w:val="20"/>
        <w:szCs w:val="20"/>
      </w:rPr>
      <w:t xml:space="preserve">Journal of Experimental and Applied Physics, </w:t>
    </w:r>
    <w:r>
      <w:rPr>
        <w:rFonts w:ascii="Garamond" w:eastAsia="Garamond" w:hAnsi="Garamond" w:cs="Garamond"/>
        <w:sz w:val="20"/>
        <w:szCs w:val="20"/>
      </w:rPr>
      <w:t>Vol.1, No. 2</w:t>
    </w:r>
    <w:r>
      <w:rPr>
        <w:rFonts w:ascii="Garamond" w:eastAsia="Garamond" w:hAnsi="Garamond" w:cs="Garamond"/>
        <w:i/>
        <w:sz w:val="20"/>
        <w:szCs w:val="20"/>
      </w:rPr>
      <w:t xml:space="preserve">, </w:t>
    </w:r>
    <w:r>
      <w:rPr>
        <w:rFonts w:ascii="Garamond" w:eastAsia="Garamond" w:hAnsi="Garamond" w:cs="Garamond"/>
        <w:sz w:val="20"/>
        <w:szCs w:val="20"/>
      </w:rPr>
      <w:t xml:space="preserve">page 26-36. </w:t>
    </w:r>
    <w:r w:rsidRPr="00474001">
      <w:rPr>
        <w:rFonts w:ascii="Garamond" w:eastAsia="Garamond" w:hAnsi="Garamond" w:cs="Garamond"/>
        <w:color w:val="000000"/>
        <w:sz w:val="20"/>
        <w:szCs w:val="20"/>
      </w:rPr>
      <w:t>https://doi.org/10.24036/jeap.v1i2.14</w:t>
    </w:r>
    <w:r>
      <w:rPr>
        <w:rFonts w:ascii="Garamond" w:eastAsia="Garamond" w:hAnsi="Garamond" w:cs="Garamond"/>
        <w:color w:val="000000"/>
        <w:sz w:val="20"/>
        <w:szCs w:val="20"/>
      </w:rPr>
      <w:tab/>
    </w:r>
    <w:r w:rsidR="00291ED8">
      <w:rPr>
        <w:rFonts w:ascii="Garamond" w:eastAsia="Garamond" w:hAnsi="Garamond" w:cs="Garamond"/>
        <w:color w:val="000000"/>
        <w:sz w:val="20"/>
        <w:szCs w:val="20"/>
      </w:rPr>
      <w:tab/>
    </w:r>
    <w:r>
      <w:rPr>
        <w:rFonts w:ascii="Garamond" w:eastAsia="Garamond" w:hAnsi="Garamond" w:cs="Garamond"/>
        <w:color w:val="000000"/>
        <w:sz w:val="20"/>
        <w:szCs w:val="20"/>
      </w:rPr>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65F8" w:rsidRDefault="000065F8">
      <w:pPr>
        <w:spacing w:after="0" w:line="240" w:lineRule="auto"/>
      </w:pPr>
      <w:r>
        <w:separator/>
      </w:r>
    </w:p>
  </w:footnote>
  <w:footnote w:type="continuationSeparator" w:id="0">
    <w:p w:rsidR="000065F8" w:rsidRDefault="000065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61C9" w:rsidRDefault="00FB61C9">
    <w:pPr>
      <w:pBdr>
        <w:top w:val="nil"/>
        <w:left w:val="nil"/>
        <w:bottom w:val="nil"/>
        <w:right w:val="nil"/>
        <w:between w:val="nil"/>
      </w:pBdr>
      <w:tabs>
        <w:tab w:val="center" w:pos="4680"/>
        <w:tab w:val="right" w:pos="9360"/>
      </w:tabs>
      <w:spacing w:after="0" w:line="240" w:lineRule="auto"/>
      <w:rPr>
        <w:rFonts w:ascii="Garamond" w:eastAsia="Garamond" w:hAnsi="Garamond" w:cs="Garamond"/>
        <w:color w:val="000000"/>
        <w:sz w:val="20"/>
        <w:szCs w:val="20"/>
      </w:rPr>
    </w:pPr>
  </w:p>
  <w:p w:rsidR="00FB61C9" w:rsidRDefault="00474001" w:rsidP="001A311A">
    <w:pPr>
      <w:pBdr>
        <w:top w:val="nil"/>
        <w:left w:val="nil"/>
        <w:bottom w:val="nil"/>
        <w:right w:val="nil"/>
        <w:between w:val="nil"/>
      </w:pBdr>
      <w:tabs>
        <w:tab w:val="center" w:pos="4680"/>
        <w:tab w:val="right" w:pos="9360"/>
      </w:tabs>
      <w:spacing w:after="0" w:line="240" w:lineRule="auto"/>
      <w:jc w:val="center"/>
      <w:rPr>
        <w:rFonts w:ascii="Garamond" w:eastAsia="Garamond" w:hAnsi="Garamond" w:cs="Garamond"/>
        <w:color w:val="000000"/>
        <w:sz w:val="20"/>
        <w:szCs w:val="20"/>
      </w:rPr>
    </w:pPr>
    <w:proofErr w:type="spellStart"/>
    <w:r>
      <w:rPr>
        <w:rFonts w:ascii="Garamond" w:eastAsia="Garamond" w:hAnsi="Garamond" w:cs="Garamond"/>
        <w:color w:val="000000"/>
        <w:sz w:val="20"/>
        <w:szCs w:val="20"/>
      </w:rPr>
      <w:t>Mairizwan</w:t>
    </w:r>
    <w:proofErr w:type="spellEnd"/>
    <w:r w:rsidR="00291ED8">
      <w:rPr>
        <w:rFonts w:ascii="Garamond" w:eastAsia="Garamond" w:hAnsi="Garamond" w:cs="Garamond"/>
        <w:color w:val="000000"/>
        <w:sz w:val="20"/>
        <w:szCs w:val="20"/>
      </w:rPr>
      <w:t xml:space="preserve"> et 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61C9" w:rsidRDefault="00FB61C9">
    <w:pPr>
      <w:pBdr>
        <w:top w:val="nil"/>
        <w:left w:val="nil"/>
        <w:bottom w:val="nil"/>
        <w:right w:val="nil"/>
        <w:between w:val="nil"/>
      </w:pBdr>
      <w:tabs>
        <w:tab w:val="center" w:pos="4680"/>
        <w:tab w:val="right" w:pos="9360"/>
      </w:tabs>
      <w:spacing w:after="0" w:line="240" w:lineRule="auto"/>
      <w:rPr>
        <w:rFonts w:ascii="Garamond" w:eastAsia="Garamond" w:hAnsi="Garamond" w:cs="Garamond"/>
        <w:color w:val="000000"/>
        <w:sz w:val="20"/>
        <w:szCs w:val="20"/>
      </w:rPr>
    </w:pPr>
  </w:p>
  <w:p w:rsidR="00FB61C9" w:rsidRDefault="00474001">
    <w:pPr>
      <w:pBdr>
        <w:top w:val="nil"/>
        <w:left w:val="nil"/>
        <w:bottom w:val="nil"/>
        <w:right w:val="nil"/>
        <w:between w:val="nil"/>
      </w:pBdr>
      <w:tabs>
        <w:tab w:val="center" w:pos="4680"/>
        <w:tab w:val="right" w:pos="9360"/>
      </w:tabs>
      <w:spacing w:after="0" w:line="240" w:lineRule="auto"/>
      <w:jc w:val="center"/>
      <w:rPr>
        <w:rFonts w:ascii="Garamond" w:eastAsia="Garamond" w:hAnsi="Garamond" w:cs="Garamond"/>
        <w:color w:val="000000"/>
        <w:sz w:val="20"/>
        <w:szCs w:val="20"/>
      </w:rPr>
    </w:pPr>
    <w:proofErr w:type="spellStart"/>
    <w:r>
      <w:rPr>
        <w:rFonts w:ascii="Garamond" w:eastAsia="Garamond" w:hAnsi="Garamond" w:cs="Garamond"/>
        <w:color w:val="000000"/>
        <w:sz w:val="20"/>
        <w:szCs w:val="20"/>
      </w:rPr>
      <w:t>Mairizwan</w:t>
    </w:r>
    <w:proofErr w:type="spellEnd"/>
    <w:r>
      <w:rPr>
        <w:rFonts w:ascii="Garamond" w:eastAsia="Garamond" w:hAnsi="Garamond" w:cs="Garamond"/>
        <w:color w:val="000000"/>
        <w:sz w:val="20"/>
        <w:szCs w:val="20"/>
      </w:rPr>
      <w:t xml:space="preserve"> </w:t>
    </w:r>
    <w:r w:rsidR="00291ED8">
      <w:rPr>
        <w:rFonts w:ascii="Garamond" w:eastAsia="Garamond" w:hAnsi="Garamond" w:cs="Garamond"/>
        <w:color w:val="000000"/>
        <w:sz w:val="20"/>
        <w:szCs w:val="20"/>
      </w:rPr>
      <w:t>et al.</w:t>
    </w:r>
  </w:p>
  <w:p w:rsidR="00FB61C9" w:rsidRDefault="00FB61C9">
    <w:pPr>
      <w:pBdr>
        <w:top w:val="nil"/>
        <w:left w:val="nil"/>
        <w:bottom w:val="nil"/>
        <w:right w:val="nil"/>
        <w:between w:val="nil"/>
      </w:pBdr>
      <w:tabs>
        <w:tab w:val="center" w:pos="4680"/>
        <w:tab w:val="right" w:pos="9360"/>
      </w:tabs>
      <w:spacing w:after="0" w:line="240" w:lineRule="auto"/>
      <w:rPr>
        <w:rFonts w:ascii="Garamond" w:eastAsia="Garamond" w:hAnsi="Garamond" w:cs="Garamond"/>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61C9" w:rsidRDefault="00291ED8">
    <w:pPr>
      <w:pBdr>
        <w:top w:val="nil"/>
        <w:left w:val="nil"/>
        <w:bottom w:val="nil"/>
        <w:right w:val="nil"/>
        <w:between w:val="nil"/>
      </w:pBdr>
      <w:tabs>
        <w:tab w:val="center" w:pos="4680"/>
        <w:tab w:val="right" w:pos="9360"/>
        <w:tab w:val="right" w:pos="9072"/>
      </w:tabs>
      <w:spacing w:after="0"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 xml:space="preserve">Journal of Experimental and Applied Physics, Vol. 1, No. </w:t>
    </w:r>
    <w:r w:rsidR="008948CC">
      <w:rPr>
        <w:rFonts w:ascii="Garamond" w:eastAsia="Garamond" w:hAnsi="Garamond" w:cs="Garamond"/>
        <w:color w:val="000000"/>
        <w:sz w:val="20"/>
        <w:szCs w:val="20"/>
      </w:rPr>
      <w:t>2</w:t>
    </w:r>
    <w:r>
      <w:rPr>
        <w:rFonts w:ascii="Garamond" w:eastAsia="Garamond" w:hAnsi="Garamond" w:cs="Garamond"/>
        <w:color w:val="000000"/>
        <w:sz w:val="20"/>
        <w:szCs w:val="20"/>
      </w:rPr>
      <w:t xml:space="preserve"> (2023)</w:t>
    </w:r>
  </w:p>
  <w:p w:rsidR="00FB61C9" w:rsidRDefault="008948CC">
    <w:pPr>
      <w:pBdr>
        <w:top w:val="nil"/>
        <w:left w:val="nil"/>
        <w:bottom w:val="nil"/>
        <w:right w:val="nil"/>
        <w:between w:val="nil"/>
      </w:pBdr>
      <w:tabs>
        <w:tab w:val="center" w:pos="4680"/>
        <w:tab w:val="right" w:pos="9360"/>
      </w:tabs>
      <w:spacing w:after="0" w:line="240" w:lineRule="auto"/>
      <w:ind w:left="-142" w:right="-142"/>
      <w:rPr>
        <w:rFonts w:ascii="Garamond" w:eastAsia="Garamond" w:hAnsi="Garamond" w:cs="Garamond"/>
        <w:color w:val="000000"/>
        <w:sz w:val="20"/>
        <w:szCs w:val="20"/>
      </w:rPr>
    </w:pPr>
    <w:r>
      <w:rPr>
        <w:rFonts w:ascii="Garamond" w:eastAsia="Garamond" w:hAnsi="Garamond" w:cs="Garamond"/>
        <w:noProof/>
        <w:color w:val="000000"/>
        <w:sz w:val="20"/>
        <w:szCs w:val="20"/>
        <w:lang w:eastAsia="en-US"/>
      </w:rPr>
      <w:drawing>
        <wp:inline distT="0" distB="0" distL="0" distR="0" wp14:anchorId="36FA2A14" wp14:editId="362D169C">
          <wp:extent cx="5870961" cy="1213841"/>
          <wp:effectExtent l="0" t="0" r="0" b="571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3-09-24 at 13.38.27.png"/>
                  <pic:cNvPicPr/>
                </pic:nvPicPr>
                <pic:blipFill>
                  <a:blip r:embed="rId1">
                    <a:extLst>
                      <a:ext uri="{28A0092B-C50C-407E-A947-70E740481C1C}">
                        <a14:useLocalDpi xmlns:a14="http://schemas.microsoft.com/office/drawing/2010/main" val="0"/>
                      </a:ext>
                    </a:extLst>
                  </a:blip>
                  <a:stretch>
                    <a:fillRect/>
                  </a:stretch>
                </pic:blipFill>
                <pic:spPr>
                  <a:xfrm>
                    <a:off x="0" y="0"/>
                    <a:ext cx="5932671" cy="1226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326BC4"/>
    <w:multiLevelType w:val="multilevel"/>
    <w:tmpl w:val="2A6CB522"/>
    <w:lvl w:ilvl="0">
      <w:start w:val="1"/>
      <w:numFmt w:val="decimal"/>
      <w:pStyle w:val="IJASEITHeading2"/>
      <w:lvlText w:val="2.%1."/>
      <w:lvlJc w:val="left"/>
      <w:pPr>
        <w:ind w:left="360" w:hanging="360"/>
      </w:pPr>
      <w:rPr>
        <w:i/>
      </w:rPr>
    </w:lvl>
    <w:lvl w:ilvl="1">
      <w:start w:val="1"/>
      <w:numFmt w:val="decimal"/>
      <w:lvlText w:val="%1.%2)"/>
      <w:lvlJc w:val="left"/>
      <w:pPr>
        <w:ind w:left="936" w:hanging="720"/>
      </w:pPr>
    </w:lvl>
    <w:lvl w:ilvl="2">
      <w:start w:val="1"/>
      <w:numFmt w:val="decimal"/>
      <w:lvlText w:val="%1.%2)%3."/>
      <w:lvlJc w:val="left"/>
      <w:pPr>
        <w:ind w:left="936" w:hanging="72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1" w15:restartNumberingAfterBreak="0">
    <w:nsid w:val="28D11889"/>
    <w:multiLevelType w:val="multilevel"/>
    <w:tmpl w:val="EB8AC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855861"/>
    <w:multiLevelType w:val="multilevel"/>
    <w:tmpl w:val="2B855861"/>
    <w:lvl w:ilvl="0">
      <w:start w:val="1"/>
      <w:numFmt w:val="decimal"/>
      <w:lvlText w:val="[%1]"/>
      <w:lvlJc w:val="left"/>
      <w:pPr>
        <w:tabs>
          <w:tab w:val="left" w:pos="432"/>
        </w:tabs>
        <w:ind w:left="432" w:hanging="432"/>
      </w:pPr>
      <w:rPr>
        <w:rFonts w:hint="default"/>
      </w:rPr>
    </w:lvl>
    <w:lvl w:ilvl="1">
      <w:start w:val="1"/>
      <w:numFmt w:val="decimal"/>
      <w:lvlText w:val="%1.%2)"/>
      <w:lvlJc w:val="left"/>
      <w:pPr>
        <w:tabs>
          <w:tab w:val="left" w:pos="936"/>
        </w:tabs>
        <w:ind w:left="936" w:hanging="720"/>
      </w:pPr>
      <w:rPr>
        <w:rFonts w:hint="default"/>
      </w:rPr>
    </w:lvl>
    <w:lvl w:ilvl="2">
      <w:start w:val="1"/>
      <w:numFmt w:val="decimal"/>
      <w:lvlText w:val="%3)"/>
      <w:lvlJc w:val="left"/>
      <w:pPr>
        <w:tabs>
          <w:tab w:val="left" w:pos="360"/>
        </w:tabs>
        <w:ind w:left="360" w:hanging="360"/>
      </w:pPr>
      <w:rPr>
        <w:rFonts w:hint="default"/>
      </w:rPr>
    </w:lvl>
    <w:lvl w:ilvl="3">
      <w:start w:val="1"/>
      <w:numFmt w:val="decimal"/>
      <w:lvlText w:val="%1.%2)%3.%4."/>
      <w:lvlJc w:val="left"/>
      <w:pPr>
        <w:tabs>
          <w:tab w:val="left" w:pos="1296"/>
        </w:tabs>
        <w:ind w:left="1296" w:hanging="1080"/>
      </w:pPr>
      <w:rPr>
        <w:rFonts w:hint="default"/>
      </w:rPr>
    </w:lvl>
    <w:lvl w:ilvl="4">
      <w:start w:val="1"/>
      <w:numFmt w:val="decimal"/>
      <w:lvlText w:val="%1.%2)%3.%4.%5."/>
      <w:lvlJc w:val="left"/>
      <w:pPr>
        <w:tabs>
          <w:tab w:val="left" w:pos="1296"/>
        </w:tabs>
        <w:ind w:left="1296" w:hanging="1080"/>
      </w:pPr>
      <w:rPr>
        <w:rFonts w:hint="default"/>
      </w:rPr>
    </w:lvl>
    <w:lvl w:ilvl="5">
      <w:start w:val="1"/>
      <w:numFmt w:val="decimal"/>
      <w:lvlText w:val="%1.%2)%3.%4.%5.%6."/>
      <w:lvlJc w:val="left"/>
      <w:pPr>
        <w:tabs>
          <w:tab w:val="left" w:pos="1656"/>
        </w:tabs>
        <w:ind w:left="1656" w:hanging="1440"/>
      </w:pPr>
      <w:rPr>
        <w:rFonts w:hint="default"/>
      </w:rPr>
    </w:lvl>
    <w:lvl w:ilvl="6">
      <w:start w:val="1"/>
      <w:numFmt w:val="decimal"/>
      <w:lvlText w:val="%1.%2)%3.%4.%5.%6.%7."/>
      <w:lvlJc w:val="left"/>
      <w:pPr>
        <w:tabs>
          <w:tab w:val="left" w:pos="1656"/>
        </w:tabs>
        <w:ind w:left="1656" w:hanging="1440"/>
      </w:pPr>
      <w:rPr>
        <w:rFonts w:hint="default"/>
      </w:rPr>
    </w:lvl>
    <w:lvl w:ilvl="7">
      <w:start w:val="1"/>
      <w:numFmt w:val="decimal"/>
      <w:lvlText w:val="%1.%2)%3.%4.%5.%6.%7.%8."/>
      <w:lvlJc w:val="left"/>
      <w:pPr>
        <w:tabs>
          <w:tab w:val="left" w:pos="2016"/>
        </w:tabs>
        <w:ind w:left="2016" w:hanging="1800"/>
      </w:pPr>
      <w:rPr>
        <w:rFonts w:hint="default"/>
      </w:rPr>
    </w:lvl>
    <w:lvl w:ilvl="8">
      <w:start w:val="1"/>
      <w:numFmt w:val="decimal"/>
      <w:lvlText w:val="%1.%2)%3.%4.%5.%6.%7.%8.%9."/>
      <w:lvlJc w:val="left"/>
      <w:pPr>
        <w:tabs>
          <w:tab w:val="left" w:pos="2016"/>
        </w:tabs>
        <w:ind w:left="2016" w:hanging="1800"/>
      </w:pPr>
      <w:rPr>
        <w:rFonts w:hint="default"/>
      </w:rPr>
    </w:lvl>
  </w:abstractNum>
  <w:abstractNum w:abstractNumId="3" w15:restartNumberingAfterBreak="0">
    <w:nsid w:val="3769760B"/>
    <w:multiLevelType w:val="hybridMultilevel"/>
    <w:tmpl w:val="BB4CE47C"/>
    <w:lvl w:ilvl="0" w:tplc="BAAE4D3E">
      <w:start w:val="1"/>
      <w:numFmt w:val="decimal"/>
      <w:lvlText w:val="3.%1."/>
      <w:lvlJc w:val="left"/>
      <w:pPr>
        <w:ind w:left="360" w:hanging="360"/>
      </w:pPr>
      <w:rPr>
        <w:rFonts w:hint="default"/>
      </w:rPr>
    </w:lvl>
    <w:lvl w:ilvl="1" w:tplc="04210019" w:tentative="1">
      <w:start w:val="1"/>
      <w:numFmt w:val="lowerLetter"/>
      <w:lvlText w:val="%2."/>
      <w:lvlJc w:val="left"/>
      <w:pPr>
        <w:ind w:left="1083" w:hanging="360"/>
      </w:pPr>
    </w:lvl>
    <w:lvl w:ilvl="2" w:tplc="0421001B" w:tentative="1">
      <w:start w:val="1"/>
      <w:numFmt w:val="lowerRoman"/>
      <w:lvlText w:val="%3."/>
      <w:lvlJc w:val="right"/>
      <w:pPr>
        <w:ind w:left="1803" w:hanging="180"/>
      </w:pPr>
    </w:lvl>
    <w:lvl w:ilvl="3" w:tplc="0421000F" w:tentative="1">
      <w:start w:val="1"/>
      <w:numFmt w:val="decimal"/>
      <w:lvlText w:val="%4."/>
      <w:lvlJc w:val="left"/>
      <w:pPr>
        <w:ind w:left="2523" w:hanging="360"/>
      </w:pPr>
    </w:lvl>
    <w:lvl w:ilvl="4" w:tplc="04210019" w:tentative="1">
      <w:start w:val="1"/>
      <w:numFmt w:val="lowerLetter"/>
      <w:lvlText w:val="%5."/>
      <w:lvlJc w:val="left"/>
      <w:pPr>
        <w:ind w:left="3243" w:hanging="360"/>
      </w:pPr>
    </w:lvl>
    <w:lvl w:ilvl="5" w:tplc="0421001B" w:tentative="1">
      <w:start w:val="1"/>
      <w:numFmt w:val="lowerRoman"/>
      <w:lvlText w:val="%6."/>
      <w:lvlJc w:val="right"/>
      <w:pPr>
        <w:ind w:left="3963" w:hanging="180"/>
      </w:pPr>
    </w:lvl>
    <w:lvl w:ilvl="6" w:tplc="0421000F" w:tentative="1">
      <w:start w:val="1"/>
      <w:numFmt w:val="decimal"/>
      <w:lvlText w:val="%7."/>
      <w:lvlJc w:val="left"/>
      <w:pPr>
        <w:ind w:left="4683" w:hanging="360"/>
      </w:pPr>
    </w:lvl>
    <w:lvl w:ilvl="7" w:tplc="04210019" w:tentative="1">
      <w:start w:val="1"/>
      <w:numFmt w:val="lowerLetter"/>
      <w:lvlText w:val="%8."/>
      <w:lvlJc w:val="left"/>
      <w:pPr>
        <w:ind w:left="5403" w:hanging="360"/>
      </w:pPr>
    </w:lvl>
    <w:lvl w:ilvl="8" w:tplc="0421001B" w:tentative="1">
      <w:start w:val="1"/>
      <w:numFmt w:val="lowerRoman"/>
      <w:lvlText w:val="%9."/>
      <w:lvlJc w:val="right"/>
      <w:pPr>
        <w:ind w:left="6123" w:hanging="180"/>
      </w:pPr>
    </w:lvl>
  </w:abstractNum>
  <w:abstractNum w:abstractNumId="4" w15:restartNumberingAfterBreak="0">
    <w:nsid w:val="46172968"/>
    <w:multiLevelType w:val="multilevel"/>
    <w:tmpl w:val="841ED35A"/>
    <w:lvl w:ilvl="0">
      <w:start w:val="1"/>
      <w:numFmt w:val="decimal"/>
      <w:lvlText w:val="[%1]"/>
      <w:lvlJc w:val="left"/>
      <w:pPr>
        <w:ind w:left="199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5" w15:restartNumberingAfterBreak="0">
    <w:nsid w:val="481752A5"/>
    <w:multiLevelType w:val="multilevel"/>
    <w:tmpl w:val="9A24E0C6"/>
    <w:lvl w:ilvl="0">
      <w:start w:val="1"/>
      <w:numFmt w:val="decimal"/>
      <w:pStyle w:val="IJASEITReferenceItem"/>
      <w:lvlText w:val="2.2.%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28E13EA"/>
    <w:multiLevelType w:val="multilevel"/>
    <w:tmpl w:val="79288A2E"/>
    <w:lvl w:ilvl="0">
      <w:start w:val="1"/>
      <w:numFmt w:val="decimal"/>
      <w:pStyle w:val="IJASEITHeading1"/>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0"/>
  </w:num>
  <w:num w:numId="2">
    <w:abstractNumId w:val="4"/>
  </w:num>
  <w:num w:numId="3">
    <w:abstractNumId w:val="6"/>
  </w:num>
  <w:num w:numId="4">
    <w:abstractNumId w:val="5"/>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1C9"/>
    <w:rsid w:val="000065F8"/>
    <w:rsid w:val="00007FA8"/>
    <w:rsid w:val="00015033"/>
    <w:rsid w:val="0002565F"/>
    <w:rsid w:val="00027A2D"/>
    <w:rsid w:val="00032E59"/>
    <w:rsid w:val="00033CF6"/>
    <w:rsid w:val="00046CB0"/>
    <w:rsid w:val="00047894"/>
    <w:rsid w:val="00077178"/>
    <w:rsid w:val="000A02B3"/>
    <w:rsid w:val="000A5877"/>
    <w:rsid w:val="000C18A1"/>
    <w:rsid w:val="000D5097"/>
    <w:rsid w:val="000E4AAC"/>
    <w:rsid w:val="000E6456"/>
    <w:rsid w:val="000F6D71"/>
    <w:rsid w:val="00195C31"/>
    <w:rsid w:val="001A311A"/>
    <w:rsid w:val="001D21FD"/>
    <w:rsid w:val="001D2827"/>
    <w:rsid w:val="00204B18"/>
    <w:rsid w:val="00226137"/>
    <w:rsid w:val="002352E6"/>
    <w:rsid w:val="00247D0F"/>
    <w:rsid w:val="00265CBF"/>
    <w:rsid w:val="0028575F"/>
    <w:rsid w:val="00291ED8"/>
    <w:rsid w:val="002C47AE"/>
    <w:rsid w:val="002E394D"/>
    <w:rsid w:val="002F7BFE"/>
    <w:rsid w:val="0031043C"/>
    <w:rsid w:val="00331EA3"/>
    <w:rsid w:val="0035040E"/>
    <w:rsid w:val="00356FFD"/>
    <w:rsid w:val="00382502"/>
    <w:rsid w:val="00397711"/>
    <w:rsid w:val="003E39A0"/>
    <w:rsid w:val="003F0E39"/>
    <w:rsid w:val="003F5458"/>
    <w:rsid w:val="00431EC6"/>
    <w:rsid w:val="00432A44"/>
    <w:rsid w:val="00461E0D"/>
    <w:rsid w:val="004731E9"/>
    <w:rsid w:val="00474001"/>
    <w:rsid w:val="00474D14"/>
    <w:rsid w:val="004B6744"/>
    <w:rsid w:val="00553B5D"/>
    <w:rsid w:val="005608AB"/>
    <w:rsid w:val="00587E1D"/>
    <w:rsid w:val="005913F9"/>
    <w:rsid w:val="005A0B7E"/>
    <w:rsid w:val="005A743C"/>
    <w:rsid w:val="005C0104"/>
    <w:rsid w:val="005C632E"/>
    <w:rsid w:val="005C764E"/>
    <w:rsid w:val="005D703A"/>
    <w:rsid w:val="005F0736"/>
    <w:rsid w:val="005F36B6"/>
    <w:rsid w:val="00646B9A"/>
    <w:rsid w:val="006B7FF1"/>
    <w:rsid w:val="006C3BC1"/>
    <w:rsid w:val="006F3424"/>
    <w:rsid w:val="00705F3A"/>
    <w:rsid w:val="00784380"/>
    <w:rsid w:val="007D0376"/>
    <w:rsid w:val="00815981"/>
    <w:rsid w:val="00842CA2"/>
    <w:rsid w:val="00847DB1"/>
    <w:rsid w:val="008739CB"/>
    <w:rsid w:val="00883E71"/>
    <w:rsid w:val="008948CC"/>
    <w:rsid w:val="008A4CCA"/>
    <w:rsid w:val="008B1B8A"/>
    <w:rsid w:val="008B539D"/>
    <w:rsid w:val="008D48F4"/>
    <w:rsid w:val="008F47EB"/>
    <w:rsid w:val="00911F65"/>
    <w:rsid w:val="00944853"/>
    <w:rsid w:val="009452E3"/>
    <w:rsid w:val="0096175E"/>
    <w:rsid w:val="00987E2B"/>
    <w:rsid w:val="009C0596"/>
    <w:rsid w:val="009C7223"/>
    <w:rsid w:val="009D6404"/>
    <w:rsid w:val="009E6F52"/>
    <w:rsid w:val="00A0323C"/>
    <w:rsid w:val="00A41ADF"/>
    <w:rsid w:val="00A76D16"/>
    <w:rsid w:val="00A77BCD"/>
    <w:rsid w:val="00A8331B"/>
    <w:rsid w:val="00AE6F85"/>
    <w:rsid w:val="00B07277"/>
    <w:rsid w:val="00B605A8"/>
    <w:rsid w:val="00B76A40"/>
    <w:rsid w:val="00B86481"/>
    <w:rsid w:val="00BD4686"/>
    <w:rsid w:val="00BD7BB7"/>
    <w:rsid w:val="00C10776"/>
    <w:rsid w:val="00C12B2D"/>
    <w:rsid w:val="00C32AB4"/>
    <w:rsid w:val="00C74431"/>
    <w:rsid w:val="00C8508B"/>
    <w:rsid w:val="00CA52ED"/>
    <w:rsid w:val="00CC11E6"/>
    <w:rsid w:val="00CE0CEA"/>
    <w:rsid w:val="00D014CE"/>
    <w:rsid w:val="00D94168"/>
    <w:rsid w:val="00DC6AE4"/>
    <w:rsid w:val="00E03473"/>
    <w:rsid w:val="00E327E9"/>
    <w:rsid w:val="00E33552"/>
    <w:rsid w:val="00E66334"/>
    <w:rsid w:val="00E73C54"/>
    <w:rsid w:val="00F0609B"/>
    <w:rsid w:val="00F34066"/>
    <w:rsid w:val="00F829CE"/>
    <w:rsid w:val="00FA43D0"/>
    <w:rsid w:val="00FB61C9"/>
    <w:rsid w:val="00FB6B1A"/>
    <w:rsid w:val="00FE2A45"/>
    <w:rsid w:val="00FF17F1"/>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407622"/>
  <w15:docId w15:val="{5874E853-F95D-1C4D-8D79-5F48F000F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HAnsi" w:cstheme="minorBidi"/>
      <w:szCs w:val="22"/>
    </w:rPr>
  </w:style>
  <w:style w:type="paragraph" w:styleId="Heading1">
    <w:name w:val="heading 1"/>
    <w:basedOn w:val="Normal"/>
    <w:next w:val="Normal"/>
    <w:link w:val="Heading1Char"/>
    <w:uiPriority w:val="9"/>
    <w:qFormat/>
    <w:pPr>
      <w:keepNext/>
      <w:keepLines/>
      <w:spacing w:after="0" w:line="240" w:lineRule="auto"/>
      <w:jc w:val="center"/>
      <w:outlineLvl w:val="0"/>
    </w:pPr>
    <w:rPr>
      <w:rFonts w:eastAsiaTheme="majorEastAsia" w:cstheme="majorBidi"/>
      <w:b/>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1F4E79" w:themeColor="accent1" w:themeShade="80"/>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ajorHAnsi" w:eastAsiaTheme="majorEastAsia" w:hAnsiTheme="majorHAnsi" w:cstheme="majorBidi"/>
      <w:color w:val="1F4E79" w:themeColor="accent1" w:themeShade="80"/>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character" w:styleId="EndnoteReference">
    <w:name w:val="endnote reference"/>
    <w:basedOn w:val="DefaultParagraphFont"/>
    <w:uiPriority w:val="99"/>
    <w:semiHidden/>
    <w:unhideWhenUsed/>
    <w:qFormat/>
    <w:rPr>
      <w:vertAlign w:val="superscript"/>
    </w:rPr>
  </w:style>
  <w:style w:type="paragraph" w:styleId="EndnoteText">
    <w:name w:val="endnote text"/>
    <w:basedOn w:val="Normal"/>
    <w:link w:val="EndnoteTextChar"/>
    <w:uiPriority w:val="99"/>
    <w:semiHidden/>
    <w:unhideWhenUsed/>
    <w:qFormat/>
    <w:pPr>
      <w:spacing w:after="0" w:line="240" w:lineRule="auto"/>
    </w:pPr>
    <w:rPr>
      <w:sz w:val="20"/>
      <w:szCs w:val="20"/>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qFormat/>
    <w:pPr>
      <w:spacing w:after="0" w:line="240" w:lineRule="auto"/>
    </w:pPr>
    <w:rPr>
      <w:sz w:val="20"/>
      <w:szCs w:val="20"/>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563C1" w:themeColor="hyperlink"/>
      <w:u w:val="single"/>
    </w:rPr>
  </w:style>
  <w:style w:type="character" w:styleId="Strong">
    <w:name w:val="Strong"/>
    <w:basedOn w:val="DefaultParagraphFont"/>
    <w:uiPriority w:val="22"/>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qFormat/>
    <w:rPr>
      <w:color w:val="808080"/>
    </w:rPr>
  </w:style>
  <w:style w:type="character" w:customStyle="1" w:styleId="JUDUL">
    <w:name w:val="JUDUL"/>
    <w:basedOn w:val="DefaultParagraphFont"/>
    <w:uiPriority w:val="1"/>
    <w:qFormat/>
  </w:style>
  <w:style w:type="character" w:customStyle="1" w:styleId="Heading1Char">
    <w:name w:val="Heading 1 Char"/>
    <w:basedOn w:val="DefaultParagraphFont"/>
    <w:link w:val="Heading1"/>
    <w:uiPriority w:val="9"/>
    <w:qFormat/>
    <w:rPr>
      <w:rFonts w:eastAsiaTheme="majorEastAsia" w:cstheme="majorBidi"/>
      <w:b/>
      <w:szCs w:val="32"/>
    </w:rPr>
  </w:style>
  <w:style w:type="paragraph" w:styleId="NoSpacing">
    <w:name w:val="No Spacing"/>
    <w:link w:val="NoSpacingChar"/>
    <w:uiPriority w:val="1"/>
    <w:qFormat/>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qFormat/>
    <w:rPr>
      <w:rFonts w:asciiTheme="minorHAnsi" w:eastAsiaTheme="minorEastAsia" w:hAnsiTheme="minorHAnsi"/>
      <w:sz w:val="22"/>
    </w:rPr>
  </w:style>
  <w:style w:type="paragraph" w:customStyle="1" w:styleId="Abstract">
    <w:name w:val="Abstract"/>
    <w:basedOn w:val="Normal"/>
    <w:link w:val="AbstractChar"/>
    <w:qFormat/>
    <w:pPr>
      <w:spacing w:after="0" w:line="240" w:lineRule="auto"/>
      <w:ind w:firstLine="709"/>
      <w:jc w:val="both"/>
    </w:pPr>
    <w:rPr>
      <w:i/>
      <w:sz w:val="20"/>
    </w:rPr>
  </w:style>
  <w:style w:type="paragraph" w:customStyle="1" w:styleId="textnormal">
    <w:name w:val="text normal"/>
    <w:basedOn w:val="Normal"/>
    <w:link w:val="textnormalChar"/>
    <w:qFormat/>
    <w:pPr>
      <w:spacing w:after="0" w:line="240" w:lineRule="auto"/>
      <w:jc w:val="both"/>
    </w:pPr>
  </w:style>
  <w:style w:type="character" w:customStyle="1" w:styleId="AbstractChar">
    <w:name w:val="Abstract Char"/>
    <w:basedOn w:val="DefaultParagraphFont"/>
    <w:link w:val="Abstract"/>
    <w:qFormat/>
    <w:rPr>
      <w:i/>
      <w:sz w:val="20"/>
    </w:rPr>
  </w:style>
  <w:style w:type="paragraph" w:styleId="ListParagraph">
    <w:name w:val="List Paragraph"/>
    <w:basedOn w:val="Normal"/>
    <w:uiPriority w:val="34"/>
    <w:qFormat/>
    <w:pPr>
      <w:ind w:left="720"/>
      <w:contextualSpacing/>
    </w:pPr>
  </w:style>
  <w:style w:type="character" w:customStyle="1" w:styleId="textnormalChar">
    <w:name w:val="text normal Char"/>
    <w:basedOn w:val="DefaultParagraphFont"/>
    <w:link w:val="textnormal"/>
    <w:qFormat/>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Style1">
    <w:name w:val="Style1"/>
    <w:basedOn w:val="DefaultParagraphFont"/>
    <w:uiPriority w:val="1"/>
    <w:qFormat/>
    <w:rPr>
      <w:rFonts w:ascii="Times New Roman" w:hAnsi="Times New Roman"/>
      <w:i/>
      <w:sz w:val="22"/>
    </w:rPr>
  </w:style>
  <w:style w:type="character" w:customStyle="1" w:styleId="Style2">
    <w:name w:val="Style2"/>
    <w:basedOn w:val="DefaultParagraphFont"/>
    <w:uiPriority w:val="1"/>
    <w:qFormat/>
    <w:rPr>
      <w:sz w:val="20"/>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qFormat/>
    <w:rPr>
      <w:rFonts w:asciiTheme="majorHAnsi" w:eastAsiaTheme="majorEastAsia" w:hAnsiTheme="majorHAnsi" w:cstheme="majorBidi"/>
      <w:color w:val="1F4E79" w:themeColor="accent1" w:themeShade="80"/>
      <w:szCs w:val="24"/>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qFormat/>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qFormat/>
    <w:rPr>
      <w:rFonts w:asciiTheme="majorHAnsi" w:eastAsiaTheme="majorEastAsia" w:hAnsiTheme="majorHAnsi" w:cstheme="majorBidi"/>
      <w:color w:val="1F4E79" w:themeColor="accent1" w:themeShade="80"/>
    </w:rPr>
  </w:style>
  <w:style w:type="character" w:customStyle="1" w:styleId="Heading7Char">
    <w:name w:val="Heading 7 Char"/>
    <w:basedOn w:val="DefaultParagraphFont"/>
    <w:link w:val="Heading7"/>
    <w:uiPriority w:val="9"/>
    <w:semiHidden/>
    <w:qFormat/>
    <w:rPr>
      <w:rFonts w:asciiTheme="majorHAnsi" w:eastAsiaTheme="majorEastAsia" w:hAnsiTheme="majorHAnsi" w:cstheme="majorBidi"/>
      <w:i/>
      <w:iCs/>
      <w:color w:val="1F4E79" w:themeColor="accent1" w:themeShade="80"/>
    </w:rPr>
  </w:style>
  <w:style w:type="character" w:customStyle="1" w:styleId="Heading8Char">
    <w:name w:val="Heading 8 Char"/>
    <w:basedOn w:val="DefaultParagraphFont"/>
    <w:link w:val="Heading8"/>
    <w:uiPriority w:val="9"/>
    <w:semiHidden/>
    <w:qFormat/>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qFormat/>
    <w:rPr>
      <w:rFonts w:asciiTheme="majorHAnsi" w:eastAsiaTheme="majorEastAsia" w:hAnsiTheme="majorHAnsi" w:cstheme="majorBidi"/>
      <w:i/>
      <w:iCs/>
      <w:color w:val="262626" w:themeColor="text1" w:themeTint="D9"/>
      <w:sz w:val="21"/>
      <w:szCs w:val="21"/>
    </w:rPr>
  </w:style>
  <w:style w:type="paragraph" w:customStyle="1" w:styleId="Acknowledgement">
    <w:name w:val="Acknowledgement"/>
    <w:basedOn w:val="Heading1"/>
    <w:qFormat/>
    <w:pPr>
      <w:spacing w:before="240" w:after="240" w:line="276" w:lineRule="auto"/>
      <w:jc w:val="left"/>
    </w:pPr>
    <w:rPr>
      <w:bCs/>
      <w:sz w:val="21"/>
      <w:lang w:val="id-ID"/>
    </w:rPr>
  </w:style>
  <w:style w:type="paragraph" w:customStyle="1" w:styleId="Reference">
    <w:name w:val="Reference"/>
    <w:qFormat/>
    <w:pPr>
      <w:tabs>
        <w:tab w:val="left" w:pos="709"/>
      </w:tabs>
      <w:ind w:left="567" w:hanging="567"/>
      <w:jc w:val="both"/>
    </w:pPr>
    <w:rPr>
      <w:rFonts w:ascii="Times" w:hAnsi="Times"/>
      <w:color w:val="000000"/>
      <w:sz w:val="22"/>
      <w:szCs w:val="22"/>
      <w:lang w:val="en-GB"/>
    </w:rPr>
  </w:style>
  <w:style w:type="character" w:customStyle="1" w:styleId="FootnoteTextChar">
    <w:name w:val="Footnote Text Char"/>
    <w:basedOn w:val="DefaultParagraphFont"/>
    <w:link w:val="FootnoteText"/>
    <w:uiPriority w:val="99"/>
    <w:semiHidden/>
    <w:qFormat/>
    <w:rPr>
      <w:sz w:val="20"/>
      <w:szCs w:val="20"/>
    </w:rPr>
  </w:style>
  <w:style w:type="character" w:customStyle="1" w:styleId="EndnoteTextChar">
    <w:name w:val="Endnote Text Char"/>
    <w:basedOn w:val="DefaultParagraphFont"/>
    <w:link w:val="EndnoteText"/>
    <w:uiPriority w:val="99"/>
    <w:semiHidden/>
    <w:qFormat/>
    <w:rPr>
      <w:sz w:val="20"/>
      <w:szCs w:val="20"/>
    </w:rPr>
  </w:style>
  <w:style w:type="paragraph" w:customStyle="1" w:styleId="IJASEITParagraph">
    <w:name w:val="IJASEIT Paragraph"/>
    <w:basedOn w:val="Normal"/>
    <w:qFormat/>
    <w:pPr>
      <w:adjustRightInd w:val="0"/>
      <w:snapToGrid w:val="0"/>
      <w:ind w:firstLine="216"/>
      <w:jc w:val="both"/>
    </w:pPr>
    <w:rPr>
      <w:sz w:val="20"/>
    </w:rPr>
  </w:style>
  <w:style w:type="paragraph" w:customStyle="1" w:styleId="IJASEITHeading2">
    <w:name w:val="IJASEIT Heading 2"/>
    <w:basedOn w:val="Normal"/>
    <w:next w:val="IJASEITParagraph"/>
    <w:qFormat/>
    <w:pPr>
      <w:numPr>
        <w:numId w:val="1"/>
      </w:numPr>
      <w:adjustRightInd w:val="0"/>
      <w:snapToGrid w:val="0"/>
      <w:spacing w:before="150" w:after="60"/>
      <w:ind w:left="289" w:hanging="289"/>
    </w:pPr>
    <w:rPr>
      <w:i/>
      <w:sz w:val="20"/>
    </w:rPr>
  </w:style>
  <w:style w:type="paragraph" w:customStyle="1" w:styleId="IJASEITHeading3">
    <w:name w:val="IJASEIT Heading 3"/>
    <w:basedOn w:val="Normal"/>
    <w:next w:val="IJASEITParagraph"/>
    <w:qFormat/>
    <w:pPr>
      <w:adjustRightInd w:val="0"/>
      <w:snapToGrid w:val="0"/>
      <w:spacing w:before="120" w:after="60"/>
      <w:jc w:val="both"/>
    </w:pPr>
    <w:rPr>
      <w:i/>
      <w:sz w:val="20"/>
    </w:rPr>
  </w:style>
  <w:style w:type="paragraph" w:customStyle="1" w:styleId="IJASEITFigureCaptionSingle-Line">
    <w:name w:val="IJASEIT Figure Caption Single-Line"/>
    <w:basedOn w:val="IJASEITTitle"/>
    <w:next w:val="IJASEITParagraph"/>
    <w:qFormat/>
    <w:pPr>
      <w:spacing w:before="0"/>
    </w:pPr>
    <w:rPr>
      <w:sz w:val="16"/>
    </w:rPr>
  </w:style>
  <w:style w:type="paragraph" w:customStyle="1" w:styleId="IJASEITTitle">
    <w:name w:val="IJASEIT Title"/>
    <w:basedOn w:val="Normal"/>
    <w:next w:val="IJASEITAuthorName"/>
    <w:qFormat/>
    <w:pPr>
      <w:adjustRightInd w:val="0"/>
      <w:snapToGrid w:val="0"/>
      <w:spacing w:before="2560"/>
      <w:jc w:val="center"/>
    </w:pPr>
    <w:rPr>
      <w:sz w:val="36"/>
    </w:rPr>
  </w:style>
  <w:style w:type="paragraph" w:customStyle="1" w:styleId="IJASEITAuthorName">
    <w:name w:val="IJASEIT Author Name"/>
    <w:basedOn w:val="Normal"/>
    <w:next w:val="Normal"/>
    <w:qFormat/>
    <w:pPr>
      <w:adjustRightInd w:val="0"/>
      <w:snapToGrid w:val="0"/>
      <w:spacing w:before="120" w:after="120"/>
      <w:jc w:val="center"/>
    </w:pPr>
    <w:rPr>
      <w:rFonts w:eastAsia="Times New Roman"/>
      <w:lang w:val="en-GB" w:eastAsia="en-GB"/>
    </w:rPr>
  </w:style>
  <w:style w:type="paragraph" w:customStyle="1" w:styleId="IJASEITHeading1">
    <w:name w:val="IJASEIT Heading 1"/>
    <w:basedOn w:val="Normal"/>
    <w:next w:val="IJASEITParagraph"/>
    <w:qFormat/>
    <w:pPr>
      <w:numPr>
        <w:numId w:val="3"/>
      </w:numPr>
      <w:adjustRightInd w:val="0"/>
      <w:snapToGrid w:val="0"/>
      <w:spacing w:before="240" w:after="80"/>
      <w:ind w:left="289" w:hanging="289"/>
      <w:jc w:val="center"/>
    </w:pPr>
    <w:rPr>
      <w:smallCaps/>
      <w:sz w:val="20"/>
    </w:rPr>
  </w:style>
  <w:style w:type="paragraph" w:customStyle="1" w:styleId="IJASEITReferenceItem">
    <w:name w:val="IJASEIT Reference Item"/>
    <w:basedOn w:val="Normal"/>
    <w:qFormat/>
    <w:pPr>
      <w:numPr>
        <w:numId w:val="4"/>
      </w:numPr>
      <w:adjustRightInd w:val="0"/>
      <w:snapToGrid w:val="0"/>
      <w:jc w:val="both"/>
    </w:pPr>
    <w:rPr>
      <w:sz w:val="16"/>
    </w:rPr>
  </w:style>
  <w:style w:type="character" w:customStyle="1" w:styleId="UnresolvedMention1">
    <w:name w:val="Unresolved Mention1"/>
    <w:basedOn w:val="DefaultParagraphFont"/>
    <w:uiPriority w:val="99"/>
    <w:semiHidden/>
    <w:unhideWhenUsed/>
    <w:rsid w:val="00586C6F"/>
    <w:rPr>
      <w:color w:val="605E5C"/>
      <w:shd w:val="clear" w:color="auto" w:fill="E1DFDD"/>
    </w:rPr>
  </w:style>
  <w:style w:type="character" w:styleId="FollowedHyperlink">
    <w:name w:val="FollowedHyperlink"/>
    <w:basedOn w:val="DefaultParagraphFont"/>
    <w:uiPriority w:val="99"/>
    <w:semiHidden/>
    <w:unhideWhenUsed/>
    <w:rsid w:val="00586C6F"/>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character" w:styleId="Emphasis">
    <w:name w:val="Emphasis"/>
    <w:uiPriority w:val="20"/>
    <w:qFormat/>
    <w:rsid w:val="00DB3DC8"/>
    <w:rPr>
      <w:i/>
      <w:iCs/>
    </w:r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Caption">
    <w:name w:val="caption"/>
    <w:basedOn w:val="Normal"/>
    <w:next w:val="Normal"/>
    <w:uiPriority w:val="35"/>
    <w:unhideWhenUsed/>
    <w:qFormat/>
    <w:rsid w:val="00705F3A"/>
    <w:pPr>
      <w:spacing w:after="200" w:line="240" w:lineRule="auto"/>
    </w:pPr>
    <w:rPr>
      <w:rFonts w:asciiTheme="minorHAnsi" w:hAnsiTheme="minorHAnsi"/>
      <w:i/>
      <w:iCs/>
      <w:color w:val="44546A" w:themeColor="text2"/>
      <w:kern w:val="2"/>
      <w:sz w:val="18"/>
      <w:szCs w:val="18"/>
      <w:lang w:val="en-ID" w:eastAsia="en-US"/>
    </w:rPr>
  </w:style>
  <w:style w:type="paragraph" w:styleId="NormalWeb">
    <w:name w:val="Normal (Web)"/>
    <w:basedOn w:val="Normal"/>
    <w:uiPriority w:val="99"/>
    <w:semiHidden/>
    <w:unhideWhenUsed/>
    <w:rsid w:val="001D21FD"/>
    <w:pPr>
      <w:spacing w:before="100" w:beforeAutospacing="1" w:after="100" w:afterAutospacing="1" w:line="240" w:lineRule="auto"/>
    </w:pPr>
    <w:rPr>
      <w:rFonts w:eastAsia="Times New Roman" w:cs="Times New Roman"/>
      <w:szCs w:val="24"/>
      <w:lang w:val="id-ID"/>
    </w:rPr>
  </w:style>
  <w:style w:type="character" w:styleId="UnresolvedMention">
    <w:name w:val="Unresolved Mention"/>
    <w:basedOn w:val="DefaultParagraphFont"/>
    <w:uiPriority w:val="99"/>
    <w:semiHidden/>
    <w:unhideWhenUsed/>
    <w:rsid w:val="004740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4159766">
      <w:bodyDiv w:val="1"/>
      <w:marLeft w:val="0"/>
      <w:marRight w:val="0"/>
      <w:marTop w:val="0"/>
      <w:marBottom w:val="0"/>
      <w:divBdr>
        <w:top w:val="none" w:sz="0" w:space="0" w:color="auto"/>
        <w:left w:val="none" w:sz="0" w:space="0" w:color="auto"/>
        <w:bottom w:val="none" w:sz="0" w:space="0" w:color="auto"/>
        <w:right w:val="none" w:sz="0" w:space="0" w:color="auto"/>
      </w:divBdr>
    </w:div>
    <w:div w:id="15317248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png"/><Relationship Id="rId3" Type="http://schemas.openxmlformats.org/officeDocument/2006/relationships/numbering" Target="numbering.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microsoft.com/office/2007/relationships/hdphoto" Target="media/hdphoto1.wdp"/></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nQtjeJDON6Q6wKXUHbcyxTuTw==">CgMxLjAyCWguMzBqMHpsbDIIaC5namRneHM4AHIhMTJ3RTdZbmZvaTV3TzdLc01iOGI4MjNFLUFWd3kyMnFY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DD1C392-E3B6-7245-9337-B08AE2A3D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3628</Words>
  <Characters>20685</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Hanifah Nur Ismail</dc:creator>
  <cp:lastModifiedBy>Microsoft Office User</cp:lastModifiedBy>
  <cp:revision>2</cp:revision>
  <cp:lastPrinted>2023-09-30T04:39:00Z</cp:lastPrinted>
  <dcterms:created xsi:type="dcterms:W3CDTF">2023-09-30T04:40:00Z</dcterms:created>
  <dcterms:modified xsi:type="dcterms:W3CDTF">2023-09-30T04:40:00Z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1033-11.2.0.11513</vt:lpwstr>
  </property>
  <property fmtid="{D5CDD505-2E9C-101B-9397-08002B2CF9AE}" pid="3" name="ICV">
    <vt:lpwstr>49BA8DE494934EA3BCD2CB153142D316</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Document_1">
    <vt:lpwstr>True</vt:lpwstr>
  </property>
  <property fmtid="{D5CDD505-2E9C-101B-9397-08002B2CF9AE}" pid="25" name="Mendeley Unique User Id_1">
    <vt:lpwstr>49e1ab0b-48f5-34b4-a3ad-02d42329c7c2</vt:lpwstr>
  </property>
</Properties>
</file>